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版本号：SCZA2026-CS-1642-00120260618001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陕西省住房保障信息平台运行维护项目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SCZA2026-CS-1642-001</w:t>
      </w:r>
      <w:r>
        <w:br/>
      </w:r>
      <w:r>
        <w:br/>
      </w:r>
      <w:r>
        <w:br/>
      </w:r>
    </w:p>
    <w:p>
      <w:pPr>
        <w:pStyle w:val="null3"/>
        <w:jc w:val="center"/>
        <w:outlineLvl w:val="2"/>
      </w:pPr>
      <w:r>
        <w:rPr>
          <w:rFonts w:ascii="仿宋_GB2312" w:hAnsi="仿宋_GB2312" w:cs="仿宋_GB2312" w:eastAsia="仿宋_GB2312"/>
          <w:sz w:val="28"/>
          <w:b/>
        </w:rPr>
        <w:t>陕西省保障性住房中心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陕西省保障性住房中心</w:t>
      </w:r>
      <w:r>
        <w:rPr>
          <w:rFonts w:ascii="仿宋_GB2312" w:hAnsi="仿宋_GB2312" w:cs="仿宋_GB2312" w:eastAsia="仿宋_GB2312"/>
        </w:rPr>
        <w:t>委托，拟对</w:t>
      </w:r>
      <w:r>
        <w:rPr>
          <w:rFonts w:ascii="仿宋_GB2312" w:hAnsi="仿宋_GB2312" w:cs="仿宋_GB2312" w:eastAsia="仿宋_GB2312"/>
        </w:rPr>
        <w:t>陕西省住房保障信息平台运行维护项目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SCZA2026-CS-1642-001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陕西省住房保障信息平台运行维护项目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住房保障信息平台（以下简称平台）支撑全省公租房资格申请审核、房源管理、配租配后等核心管理服务。本次项目主要涉及平台日常应用运维和有关文件要求的功能适配，保障平台业务正常开展、系统安全稳定运行、数据存储和归集安全合规、运行接口通道顺畅，适配中省政务及住房保障政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响应文件截止时间前被“信用中国”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陕西省保障性住房中心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西安市西北一路52号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029-63919144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李盼盼、白国锋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代理服务费收费标准：1.代理服务费参照《国家计委关于印发〈招标代理服务收费管理暂行办法〉的通知》（计价格〔2002〕1980号）规定标准收取，不足5000元按5000元收取。 2.成交单位的代理服务费交纳信息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陕西省保障性住房中心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陕西省保障性住房中心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陕西省保障性住房中心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住房保障信息平台（以下简称平台）支撑全省公租房资格申请审核、房源管理、配租配后等核心管理服务。本次项目主要涉及平台日常应用运维和有关文件要求的功能适配，保障平台业务正常开展、系统安全稳定运行、数据存储和归集安全合规、运行接口通道顺畅，适配中省政务及住房保障政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525,000.00</w:t>
      </w:r>
    </w:p>
    <w:p>
      <w:pPr>
        <w:pStyle w:val="null3"/>
      </w:pPr>
      <w:r>
        <w:rPr>
          <w:rFonts w:ascii="仿宋_GB2312" w:hAnsi="仿宋_GB2312" w:cs="仿宋_GB2312" w:eastAsia="仿宋_GB2312"/>
        </w:rPr>
        <w:t>采购包最高限价（元）: 525,000.00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一、项目总体概况</w:t>
            </w:r>
            <w:r>
              <w:br/>
            </w:r>
            <w:r>
              <w:rPr>
                <w:rFonts w:ascii="仿宋_GB2312" w:hAnsi="仿宋_GB2312" w:cs="仿宋_GB2312" w:eastAsia="仿宋_GB2312"/>
              </w:rPr>
              <w:t xml:space="preserve"> 陕西省住房保障信息平台（以下简称平台）支撑全省公租房资格申请审核、房源管理、配租配后等核心管理服务。本次项目主要涉及平台日常应用运维和有关文件要求的功能适配，保障平台业务正常开展、系统安全稳定运行、数据储存和归集安全合规、运行接口通道顺畅，适配中省政务及住房保障政策要求。</w:t>
            </w:r>
            <w:r>
              <w:br/>
            </w:r>
            <w:r>
              <w:rPr>
                <w:rFonts w:ascii="仿宋_GB2312" w:hAnsi="仿宋_GB2312" w:cs="仿宋_GB2312" w:eastAsia="仿宋_GB2312"/>
              </w:rPr>
              <w:t xml:space="preserve"> 二、主要工作内容</w:t>
            </w:r>
            <w:r>
              <w:br/>
            </w:r>
            <w:r>
              <w:rPr>
                <w:rFonts w:ascii="仿宋_GB2312" w:hAnsi="仿宋_GB2312" w:cs="仿宋_GB2312" w:eastAsia="仿宋_GB2312"/>
              </w:rPr>
              <w:t xml:space="preserve"> （一）常态化运维</w:t>
            </w:r>
            <w:r>
              <w:br/>
            </w:r>
            <w:r>
              <w:rPr>
                <w:rFonts w:ascii="仿宋_GB2312" w:hAnsi="仿宋_GB2312" w:cs="仿宋_GB2312" w:eastAsia="仿宋_GB2312"/>
              </w:rPr>
              <w:t xml:space="preserve"> 1.业务办理保障服务：保障省、市、县各级部门及用户正常使用平台，专业运维支撑资格申请、审核、公租房管理、档案管理、数据上报查询统计、报表、账户管理等业务稳定运行。</w:t>
            </w:r>
            <w:r>
              <w:br/>
            </w:r>
            <w:r>
              <w:rPr>
                <w:rFonts w:ascii="仿宋_GB2312" w:hAnsi="仿宋_GB2312" w:cs="仿宋_GB2312" w:eastAsia="仿宋_GB2312"/>
              </w:rPr>
              <w:t xml:space="preserve"> 2.日常技术支持服务：指派专人实时监控平台运行，处置各类问题，实行7*24小时全时段技术支持；同时通过电话、网络等多种方式提供业务咨询和操作答疑，按故障分级快速响应、协同处理疑难问题并及时反馈，确保平台平稳运行。</w:t>
            </w:r>
            <w:r>
              <w:br/>
            </w:r>
            <w:r>
              <w:rPr>
                <w:rFonts w:ascii="仿宋_GB2312" w:hAnsi="仿宋_GB2312" w:cs="仿宋_GB2312" w:eastAsia="仿宋_GB2312"/>
              </w:rPr>
              <w:t xml:space="preserve"> 3.日常运行维护服务：按日、月、季、半年开展常态化运维。每日巡检系统健康及核心业务运行，及时响应用户咨询、处置故障；每月全面巡检系统、数据库、中间件及安全业务，建立问题台账，明确问题详情、风险等级、责任人和整改时限，实行登记、派单、处置、复核、销号全闭环整改；每季度汇总巡检情况优化系统、制定问题解决方案，更新漏洞补丁并梳理账号权限；每半年开展运维专项数据分析、性能调优，形成半年运维报告并提出优化建议，保障平台长期稳定运行。</w:t>
            </w:r>
            <w:r>
              <w:br/>
            </w:r>
            <w:r>
              <w:rPr>
                <w:rFonts w:ascii="仿宋_GB2312" w:hAnsi="仿宋_GB2312" w:cs="仿宋_GB2312" w:eastAsia="仿宋_GB2312"/>
              </w:rPr>
              <w:t xml:space="preserve"> 4.数据维护运维服务：提供平台基础、用户、业务等核心数据的维护更新，以及数据查询统计、汇总分析、批量处理及清洗整理；按政务云规范做好数据备份，保障数据安全完整。严格遵循住建部标准定时上报公租房全量业务数据，对异常数据溯源排查、及时反馈、复核校验，完成数据正常推送上报；常态化校验核对西安市级推送数据，确保数据规范准确、逻辑一致。</w:t>
            </w:r>
            <w:r>
              <w:br/>
            </w:r>
            <w:r>
              <w:rPr>
                <w:rFonts w:ascii="仿宋_GB2312" w:hAnsi="仿宋_GB2312" w:cs="仿宋_GB2312" w:eastAsia="仿宋_GB2312"/>
              </w:rPr>
              <w:t xml:space="preserve"> 5.安全运维服务：构建监测－分析－处置－溯源闭环安全体系，实时监测平台运行，及时处置异常访问、网络攻击、数据泄露等安全事件并台账化闭环管理；对系统、数据库、中间件开展安全加固、优化配置，定期更新密码、补丁和病毒库；常态化巡检排查漏洞风险并限时修复，定期开展安全合规自查，满足法规及行业要求、协助完成安全审计备案；同时快速排查修复系统卡顿、报错、功能异常等故障，通过资源切换、配置调试、数据修复等方式恢复系统正常运行。</w:t>
            </w:r>
            <w:r>
              <w:br/>
            </w:r>
            <w:r>
              <w:rPr>
                <w:rFonts w:ascii="仿宋_GB2312" w:hAnsi="仿宋_GB2312" w:cs="仿宋_GB2312" w:eastAsia="仿宋_GB2312"/>
              </w:rPr>
              <w:t xml:space="preserve"> 6.系统更新服务：结合平台运行现状、业务需求及遗留问题，持续开展系统优化升级，定期监测分析平台性能，通过优化代码、数据库查询及接口调用，解决卡顿、响应慢、并发不足等问题，提升运行效率；同步迭代优化现有功能，修复系统BUG、整改遗留数据问题，紧跟政策变化提供适配方案，实行每月常规更新、重大漏洞即时修复。</w:t>
            </w:r>
            <w:r>
              <w:br/>
            </w:r>
            <w:r>
              <w:rPr>
                <w:rFonts w:ascii="仿宋_GB2312" w:hAnsi="仿宋_GB2312" w:cs="仿宋_GB2312" w:eastAsia="仿宋_GB2312"/>
              </w:rPr>
              <w:t xml:space="preserve"> 7.数据接口运维服务：常态化巡检优化平台各类业务接口，保障与省政务一体化、住建部、西安市公租房等系统互联互通、数据传输稳定同步，并适配第三方系统升级带来的接口变更。</w:t>
            </w:r>
            <w:r>
              <w:br/>
            </w:r>
            <w:r>
              <w:rPr>
                <w:rFonts w:ascii="仿宋_GB2312" w:hAnsi="仿宋_GB2312" w:cs="仿宋_GB2312" w:eastAsia="仿宋_GB2312"/>
              </w:rPr>
              <w:t xml:space="preserve"> 8.系统培训服务：根据业务需要，配合开展线下集中或线上视频培训，覆盖平台操作流程、核心功能使用、常见问题处理等内容；编制并更新操作指南；定期收集使用人员反馈，梳理常见问题，形成常见问题手册，助力用户熟练使用平台。</w:t>
            </w:r>
            <w:r>
              <w:br/>
            </w:r>
            <w:r>
              <w:rPr>
                <w:rFonts w:ascii="仿宋_GB2312" w:hAnsi="仿宋_GB2312" w:cs="仿宋_GB2312" w:eastAsia="仿宋_GB2312"/>
              </w:rPr>
              <w:t xml:space="preserve"> 9.应急处置服务：依托省保障房中心应急预案配置应急资源，针对平台系统瘫痪、重大故障、网络安全事件等突发情况，实行快速响应处置：事发第一时间上报并按等级启动预案，优先恢复核心业务、并实时反馈处置进度与处理结果；事后开展复盘总结、优化预案并形成处置报告；配合开展综合应急演练，维护备份数据与应急工具，保障随时可用。</w:t>
            </w:r>
            <w:r>
              <w:br/>
            </w:r>
            <w:r>
              <w:rPr>
                <w:rFonts w:ascii="仿宋_GB2312" w:hAnsi="仿宋_GB2312" w:cs="仿宋_GB2312" w:eastAsia="仿宋_GB2312"/>
              </w:rPr>
              <w:t xml:space="preserve"> 10.文档管理服务：规范运维全流程文档管理，统一收集归档巡检、备份、安全故障、系统更新、操作指南等资料；按需动态更新维护，保证文档真实完整、可追溯；按节点分期交付归档，运维期满提交全套总结及验收资料，支撑日常运维与审计核查。</w:t>
            </w:r>
            <w:r>
              <w:br/>
            </w:r>
            <w:r>
              <w:rPr>
                <w:rFonts w:ascii="仿宋_GB2312" w:hAnsi="仿宋_GB2312" w:cs="仿宋_GB2312" w:eastAsia="仿宋_GB2312"/>
              </w:rPr>
              <w:t xml:space="preserve"> （二）功能适配</w:t>
            </w:r>
            <w:r>
              <w:br/>
            </w:r>
            <w:r>
              <w:rPr>
                <w:rFonts w:ascii="仿宋_GB2312" w:hAnsi="仿宋_GB2312" w:cs="仿宋_GB2312" w:eastAsia="仿宋_GB2312"/>
              </w:rPr>
              <w:t xml:space="preserve"> 1.省政务一体化系统数据接口：根据《关于商请配合做好旧版一体化政务服务平台停用下线及迁移衔接工作的函》（陕政务函〔2026〕1号）中“旧版一体化政务服务平台及相关业务系统将分批停运下线”要求，平台本次涉及赋码系统、协同调度中心（办件库、事项中控）三个对接系统的替换对接工作，共15个接口对接改造，完善省级政务数据共享。</w:t>
            </w:r>
            <w:r>
              <w:br/>
            </w:r>
            <w:r>
              <w:rPr>
                <w:rFonts w:ascii="仿宋_GB2312" w:hAnsi="仿宋_GB2312" w:cs="仿宋_GB2312" w:eastAsia="仿宋_GB2312"/>
              </w:rPr>
              <w:t xml:space="preserve"> 2.微信人脸识别数据接口：根据微信官方通知，2026年6月30日起，微信人脸核身1.0接口停止服务，不再支持新接入与调用。因此6月底前需进行人脸识别接口升级，逾期将影响住房保障线上业务。按照微信接口规范停用微信小程序旧的人脸识别接口，需增加微信获取用户人脸核身会话唯一标识和查询用户人脸核身真实验证结果两个接口来完成微信小程序人脸识别核验功能。</w:t>
            </w:r>
            <w:r>
              <w:br/>
            </w:r>
            <w:r>
              <w:rPr>
                <w:rFonts w:ascii="仿宋_GB2312" w:hAnsi="仿宋_GB2312" w:cs="仿宋_GB2312" w:eastAsia="仿宋_GB2312"/>
              </w:rPr>
              <w:t xml:space="preserve"> 3.住建部公租房系统数据接口：根据最新的住建部《公租房基础信息数据标准》及保障性安居工程建设情况全面排查整改工作要求，需对系统进行接口维护。一是适配变更接口包括：房源接口中房源分配字典、保障对象接口中性别字典、婚姻状态字典、文化程度字典，以及五个类型调整的字段适配。二是保障对象户籍所在地行政区划代码适配：适配保障对象接口中户籍所在地字段上报为行政区划代码，修正保障房系统保障对象户籍所在地数据、兼容西安市系统接口、高办系统等接口。</w:t>
            </w:r>
            <w:r>
              <w:br/>
            </w:r>
            <w:r>
              <w:rPr>
                <w:rFonts w:ascii="仿宋_GB2312" w:hAnsi="仿宋_GB2312" w:cs="仿宋_GB2312" w:eastAsia="仿宋_GB2312"/>
              </w:rPr>
              <w:t xml:space="preserve"> 4.西安市公租房系统数据接口：西安市相关接口在调用房源分配、资格退出、业务流程执行等涉及ID调用的业务场景时，须全面强化数据行政区划权限核验。</w:t>
            </w:r>
            <w:r>
              <w:br/>
            </w:r>
            <w:r>
              <w:rPr>
                <w:rFonts w:ascii="仿宋_GB2312" w:hAnsi="仿宋_GB2312" w:cs="仿宋_GB2312" w:eastAsia="仿宋_GB2312"/>
              </w:rPr>
              <w:t xml:space="preserve"> 5.多因子认证机制：对照省住建厅《关于开展“弱口令”顽疾自查整治工作的通知》（厅发〔2026〕40号）整治要求，依托政务云现有短信平台作为统一消息基础服务，对现有工作人员登录体系进行安全升级，优化账号登录及密码安全机制：一是多因子登录，上线短信验证码登录功能。多因子组合验证，进一步加固账号安全防线，提升登录环节的身份识别可靠性。二是新增密码到期提醒，提前告知用户密码有效期状态，督促定期更换密码，降低密码老化引发的安全漏洞。</w:t>
            </w:r>
            <w:r>
              <w:br/>
            </w:r>
            <w:r>
              <w:rPr>
                <w:rFonts w:ascii="仿宋_GB2312" w:hAnsi="仿宋_GB2312" w:cs="仿宋_GB2312" w:eastAsia="仿宋_GB2312"/>
              </w:rPr>
              <w:t xml:space="preserve"> 6.房源管理功能升级：该功能配合住建部关于房源分配状态数据标准，实现房源状态自动+手动标记，优先使用自动标记，根据房源分配、盘活、出售等实际发生业务，自动对房源分配状态进行标记。同时通过手动标记功能，保障房源状态管理的灵活性和准确性，平台操作人员可在房源维护、楼盘表中对小区下的房源进行状态标记操作，房源状态标记分为未分配、已分配、已出售、盘活处置。</w:t>
            </w:r>
            <w:r>
              <w:br/>
            </w:r>
            <w:r>
              <w:rPr>
                <w:rFonts w:ascii="仿宋_GB2312" w:hAnsi="仿宋_GB2312" w:cs="仿宋_GB2312" w:eastAsia="仿宋_GB2312"/>
              </w:rPr>
              <w:t xml:space="preserve">     7.事项管理：该功能在原有用户管理中增加证件号码等实名信息并设置所有信息为必填项，严控账号实名。</w:t>
            </w:r>
            <w:r>
              <w:br/>
            </w:r>
            <w:r>
              <w:rPr>
                <w:rFonts w:ascii="仿宋_GB2312" w:hAnsi="仿宋_GB2312" w:cs="仿宋_GB2312" w:eastAsia="仿宋_GB2312"/>
              </w:rPr>
              <w:t xml:space="preserve"> 三、核心运维指标及故障分级标准</w:t>
            </w:r>
            <w:r>
              <w:br/>
            </w:r>
            <w:r>
              <w:rPr>
                <w:rFonts w:ascii="仿宋_GB2312" w:hAnsi="仿宋_GB2312" w:cs="仿宋_GB2312" w:eastAsia="仿宋_GB2312"/>
              </w:rPr>
              <w:t xml:space="preserve"> （一）核心运维指标</w:t>
            </w:r>
            <w:r>
              <w:br/>
            </w:r>
            <w:r>
              <w:rPr>
                <w:rFonts w:ascii="仿宋_GB2312" w:hAnsi="仿宋_GB2312" w:cs="仿宋_GB2312" w:eastAsia="仿宋_GB2312"/>
              </w:rPr>
              <w:t xml:space="preserve"> 1.平台正常运行率：≥99%；</w:t>
            </w:r>
            <w:r>
              <w:br/>
            </w:r>
            <w:r>
              <w:rPr>
                <w:rFonts w:ascii="仿宋_GB2312" w:hAnsi="仿宋_GB2312" w:cs="仿宋_GB2312" w:eastAsia="仿宋_GB2312"/>
              </w:rPr>
              <w:t xml:space="preserve"> 2.事件解决率：72小时内关闭率≥95%，事件重发率≤3%；</w:t>
            </w:r>
            <w:r>
              <w:br/>
            </w:r>
            <w:r>
              <w:rPr>
                <w:rFonts w:ascii="仿宋_GB2312" w:hAnsi="仿宋_GB2312" w:cs="仿宋_GB2312" w:eastAsia="仿宋_GB2312"/>
              </w:rPr>
              <w:t xml:space="preserve"> 3.高危漏洞修复率：100%；</w:t>
            </w:r>
            <w:r>
              <w:br/>
            </w:r>
            <w:r>
              <w:rPr>
                <w:rFonts w:ascii="仿宋_GB2312" w:hAnsi="仿宋_GB2312" w:cs="仿宋_GB2312" w:eastAsia="仿宋_GB2312"/>
              </w:rPr>
              <w:t xml:space="preserve"> 4.数据备份成功率：100%；</w:t>
            </w:r>
            <w:r>
              <w:br/>
            </w:r>
            <w:r>
              <w:rPr>
                <w:rFonts w:ascii="仿宋_GB2312" w:hAnsi="仿宋_GB2312" w:cs="仿宋_GB2312" w:eastAsia="仿宋_GB2312"/>
              </w:rPr>
              <w:t xml:space="preserve"> 5.技术文档按时提交率：≥100%；</w:t>
            </w:r>
            <w:r>
              <w:br/>
            </w:r>
            <w:r>
              <w:rPr>
                <w:rFonts w:ascii="仿宋_GB2312" w:hAnsi="仿宋_GB2312" w:cs="仿宋_GB2312" w:eastAsia="仿宋_GB2312"/>
              </w:rPr>
              <w:t xml:space="preserve"> 6.用户咨询问题回复率：≥99%。</w:t>
            </w:r>
            <w:r>
              <w:br/>
            </w:r>
            <w:r>
              <w:rPr>
                <w:rFonts w:ascii="仿宋_GB2312" w:hAnsi="仿宋_GB2312" w:cs="仿宋_GB2312" w:eastAsia="仿宋_GB2312"/>
              </w:rPr>
              <w:t xml:space="preserve"> （二）事件分级及处置要求</w:t>
            </w:r>
            <w:r>
              <w:br/>
            </w:r>
            <w:r>
              <w:rPr>
                <w:rFonts w:ascii="仿宋_GB2312" w:hAnsi="仿宋_GB2312" w:cs="仿宋_GB2312" w:eastAsia="仿宋_GB2312"/>
              </w:rPr>
              <w:t xml:space="preserve"> 一级事件（P1，重大）：全网/核心业务全面瘫痪、系统宕机、核心数据异常、大面积用户无法使用，造成重大业务停滞、经济损失、网络安全风险。15分钟内响应，4小时内解决。</w:t>
            </w:r>
            <w:r>
              <w:br/>
            </w:r>
            <w:r>
              <w:rPr>
                <w:rFonts w:ascii="仿宋_GB2312" w:hAnsi="仿宋_GB2312" w:cs="仿宋_GB2312" w:eastAsia="仿宋_GB2312"/>
              </w:rPr>
              <w:t xml:space="preserve"> 二级事件（P2，严重）：部分核心业务中断、关键功能异常、影响多数用户，业务无法正常开展。30分钟内响应，8小时内解决。</w:t>
            </w:r>
            <w:r>
              <w:br/>
            </w:r>
            <w:r>
              <w:rPr>
                <w:rFonts w:ascii="仿宋_GB2312" w:hAnsi="仿宋_GB2312" w:cs="仿宋_GB2312" w:eastAsia="仿宋_GB2312"/>
              </w:rPr>
              <w:t xml:space="preserve"> 三级事件（P3，一般）：非核心功能异常、局部使用故障、单部门/少量用户受影响，主业务正常运行。2小时内响应，24小时内解决。</w:t>
            </w:r>
            <w:r>
              <w:br/>
            </w:r>
            <w:r>
              <w:rPr>
                <w:rFonts w:ascii="仿宋_GB2312" w:hAnsi="仿宋_GB2312" w:cs="仿宋_GB2312" w:eastAsia="仿宋_GB2312"/>
              </w:rPr>
              <w:t xml:space="preserve"> 四级事件（P4，轻微）：使用操作问题、系统小瑕疵、无业务影响、不影响整体运行。4小时内响应，72小时内解决。</w:t>
            </w:r>
            <w:r>
              <w:br/>
            </w:r>
            <w:r>
              <w:rPr>
                <w:rFonts w:ascii="仿宋_GB2312" w:hAnsi="仿宋_GB2312" w:cs="仿宋_GB2312" w:eastAsia="仿宋_GB2312"/>
              </w:rPr>
              <w:t xml:space="preserve"> （三）参考指标及文件</w:t>
            </w:r>
            <w:r>
              <w:br/>
            </w:r>
            <w:r>
              <w:rPr>
                <w:rFonts w:ascii="仿宋_GB2312" w:hAnsi="仿宋_GB2312" w:cs="仿宋_GB2312" w:eastAsia="仿宋_GB2312"/>
              </w:rPr>
              <w:t xml:space="preserve"> 1.GB/T28827-2022《信息技术服务运行维护》系列（核心通用标准）</w:t>
            </w:r>
            <w:r>
              <w:br/>
            </w:r>
            <w:r>
              <w:rPr>
                <w:rFonts w:ascii="仿宋_GB2312" w:hAnsi="仿宋_GB2312" w:cs="仿宋_GB2312" w:eastAsia="仿宋_GB2312"/>
              </w:rPr>
              <w:t xml:space="preserve"> 2.GB/T33770-2017《信息技术服务外包服务规范》</w:t>
            </w:r>
            <w:r>
              <w:br/>
            </w:r>
            <w:r>
              <w:rPr>
                <w:rFonts w:ascii="仿宋_GB2312" w:hAnsi="仿宋_GB2312" w:cs="仿宋_GB2312" w:eastAsia="仿宋_GB2312"/>
              </w:rPr>
              <w:t xml:space="preserve"> 3.《关于商请配合做好旧版一体化政务服务平台停用下线及迁移衔接工作的函》（陕政务函〔2026〕1号）</w:t>
            </w:r>
            <w:r>
              <w:br/>
            </w:r>
            <w:r>
              <w:rPr>
                <w:rFonts w:ascii="仿宋_GB2312" w:hAnsi="仿宋_GB2312" w:cs="仿宋_GB2312" w:eastAsia="仿宋_GB2312"/>
              </w:rPr>
              <w:t xml:space="preserve"> 4.《陕西省保障性住房中心网络与信息安全事件应急预案》</w:t>
            </w:r>
            <w:r>
              <w:br/>
            </w:r>
            <w:r>
              <w:rPr>
                <w:rFonts w:ascii="仿宋_GB2312" w:hAnsi="仿宋_GB2312" w:cs="仿宋_GB2312" w:eastAsia="仿宋_GB2312"/>
              </w:rPr>
              <w:t xml:space="preserve"> 5.住建部《公租房基础信息数据标准》《公租房建设系统信息技术指南》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预付款，合同签订生效后，成交供应商持合同金额80%的付款申请书向采购人申请支付，达到付款条件起20个工作日内，支付合同总金额的80.0%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其他，项目验收合格后，成交供应商持合同金额20%的付款申请书向采购人申请支付，达到付款条件起20个工作日内，支付合同总金额的20.0%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磋商截止时间前近六个月中至少一个月的纳税证明或完税证明，依法免税的单位应提供相关证明材料；时间以税款所属时期为准4、提供磋商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投标文件截止之日前两年内任意一个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投标人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2.异常低价审查评审中出现下列情形之一的，磋商小组应当启动异常低价响应审查程序：1）响应报价低于全部通过符合性审查供应商响应报价平均值50%的，即响应报价〈全部通过符合性审查供应商响应报价平均值×50%；2）响应报价低于通过符合性审查的次低报价供应商响应报价50%的，即响应报价〈通过符合性审查的次低报价供应商响应报价×50%；3）响应报价低于采购项目最高限价45%的，即响应报价〈采购项目最高限价×45%；4）磋商小组基于专业判断，认为供应商报价过低，有可能影响产品质量或者不能诚信履约的其他情形。相关法律法规对供应商报价有规定的，从其规定。磋商小组启动异常低价响应审查后，属于前述第1项至第4项情形的，应当要求相关供应商在评审现场合理的时间内对响应价格作出解释，并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系统运行服务方案</w:t>
            </w:r>
          </w:p>
        </w:tc>
        <w:tc>
          <w:tcPr>
            <w:tcW w:type="dxa" w:w="2492"/>
          </w:tcPr>
          <w:p>
            <w:pPr>
              <w:pStyle w:val="null3"/>
            </w:pPr>
            <w:r>
              <w:rPr>
                <w:rFonts w:ascii="仿宋_GB2312" w:hAnsi="仿宋_GB2312" w:cs="仿宋_GB2312" w:eastAsia="仿宋_GB2312"/>
              </w:rPr>
              <w:t>对供应商提供的针对本项目的系统运行服务方案进行综合评审，对项目的整体需求理解、系统总体设计等方面的方案、常见问题服务等方案： 1.方案内容全面翔实、逻辑清晰合理、紧密结合本项目实际需求针对性强，完全满足并优于本项目要求，得10分。 2.方案内容较为完整、具有合理性、能够较好地结合项目情况，满足本项目需求，得7分。 3.方案内容基本完整、合理性一般、针对性不够突出，基本满足本项目需求但有提升空间，得4分。 4.方案内容简略、存在明显缺项或照搬通用模板、缺乏针对性，无法完全满足项目需求，得2分。未提供的不得分。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系统安全运维服务方案</w:t>
            </w:r>
          </w:p>
        </w:tc>
        <w:tc>
          <w:tcPr>
            <w:tcW w:type="dxa" w:w="2492"/>
          </w:tcPr>
          <w:p>
            <w:pPr>
              <w:pStyle w:val="null3"/>
            </w:pPr>
            <w:r>
              <w:rPr>
                <w:rFonts w:ascii="仿宋_GB2312" w:hAnsi="仿宋_GB2312" w:cs="仿宋_GB2312" w:eastAsia="仿宋_GB2312"/>
              </w:rPr>
              <w:t>根据供应商针对本项目的系统安全运维服务方案进行综合评审：1.方案内容全面翔实、逻辑清晰合理、紧密结合本项目实际需求针对性强，完全满足并优于本项目要求，得10分。 2.方案内容较为完整、具有合理性、能够较好地结合项目情况，满足本项目需求，得7分。 3.方案内容基本完整、合理性一般、针对性不够突出，基本满足本项目需求但有提升空间，得4分。 4.方案内容简略、存在明显缺项或照搬通用模板、缺乏针对性，无法完全满足项目需求，得2分。未提供的不得分。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日常技术支持服务保障方案</w:t>
            </w:r>
          </w:p>
        </w:tc>
        <w:tc>
          <w:tcPr>
            <w:tcW w:type="dxa" w:w="2492"/>
          </w:tcPr>
          <w:p>
            <w:pPr>
              <w:pStyle w:val="null3"/>
            </w:pPr>
            <w:r>
              <w:rPr>
                <w:rFonts w:ascii="仿宋_GB2312" w:hAnsi="仿宋_GB2312" w:cs="仿宋_GB2312" w:eastAsia="仿宋_GB2312"/>
              </w:rPr>
              <w:t>根据供应商针对本项目的日常技术支持服务保障方案进行综合评审，方案应明确承诺提供“7×24小时”技术支持服务及故障分级响应机制： ①方案完整详细、描述清晰、内容科学合理、可实施性强的，得5分。②方案较完整但简单、内容合理性及可实施性一般的，得3分。③方案内容有缺失，影响到项目实施的，得1分。未提供的不得分。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供详细具体可行的售后服务方案：①方案完整详细、描述清晰、内容科学合理、可实施性强的，得5分。②方案较完整但简单、内容合理性及可实施性一般的，得3分。③方案内容有缺失，影响到项目实施的，得1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进度及质量保障措施</w:t>
            </w:r>
          </w:p>
        </w:tc>
        <w:tc>
          <w:tcPr>
            <w:tcW w:type="dxa" w:w="2492"/>
          </w:tcPr>
          <w:p>
            <w:pPr>
              <w:pStyle w:val="null3"/>
            </w:pPr>
            <w:r>
              <w:rPr>
                <w:rFonts w:ascii="仿宋_GB2312" w:hAnsi="仿宋_GB2312" w:cs="仿宋_GB2312" w:eastAsia="仿宋_GB2312"/>
              </w:rPr>
              <w:t>对供应商提供的针对本项目服务工作流程、服务进度计划及服务质量保障措施进行综合评审：①方案完整详细、描述清晰、内容科学合理、可实施性强的，得5分。②方案较完整但简单、内容合理性及可实施性一般的，得3分。③方案内容有缺失，影响到项目实施的，得1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供应商对本项目有明确、具体和可行的应急响应方案，且内容翔实、有效，切实可行。①方案完整详细、描述清晰、内容科学合理、可实施性强的，得4分。②方案较完整但简单、内容合理性及可实施性一般的，得2分。③方案内容有缺失，影响到项目实施的，得1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 （1）专业认证：具有信息系统项目管理师（软考高级） 或 PMP证书的，得5分；具有其他中级职称或相关专业证书的，得2分。 （3）学历：拟派项目负责人具有本科及以上学历，得2分；其他不得分。 （2）业绩：项目负责人2023年1月1日至今担任过（以合同签订时间为准）类似项目的负责人，每提供一份得2分，本项最高得8分。 注：①需提供项目负责人相关证书复印件及近半年任意一个月的社保证明材料；②项目负责人业绩证明材料以项目合同为准，合同中能显示项目负责人姓名或体现负责人姓名的成果文件。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根据供应商的团队人员配备情况进行评审：除项目负责人外，具有本项目相关专业高级职称证书提供1人得1分，具有本项目相关专业中级职称证书提供1人得0.5分，最高的5分。 注：提供相关人员证书复印件及近半年任意一个月的社保证明材料。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供应商具有有效期内的以下认证证书： ISO9001质量管理体系认证证书、ISO14001环境管理体系认证证书、ISO45001职业健康安全管理体系认证证书、ISO20000（IT服务管理体系）或ISO27001（信息安全管理体系） 认证证书。每提供一个得1.5分，满分6分。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供应商提供2023年1月1日至今同类项目业绩：每提供一项得3分，最多得15分。注：未提供不得分，响应文件中附项目合同关键页或中标/成交通知书复印件，并加盖供应商公章。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