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版本号：ZBZB-2026-300520260907002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采购高频电灼仪、脉冲磁场刺激仪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ZBZB-2026-3005</w:t>
      </w:r>
      <w:r>
        <w:br/>
      </w:r>
      <w:r>
        <w:br/>
      </w:r>
      <w:r>
        <w:br/>
      </w:r>
    </w:p>
    <w:p>
      <w:pPr>
        <w:pStyle w:val="null3"/>
        <w:jc w:val="center"/>
        <w:outlineLvl w:val="2"/>
      </w:pPr>
      <w:r>
        <w:rPr>
          <w:rFonts w:ascii="仿宋_GB2312" w:hAnsi="仿宋_GB2312" w:cs="仿宋_GB2312" w:eastAsia="仿宋_GB2312"/>
          <w:sz w:val="28"/>
          <w:b/>
        </w:rPr>
        <w:t>西安市临潼区妇幼保健计划生育服务中心</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西安市临潼区妇幼保健计划生育服务中心</w:t>
      </w:r>
      <w:r>
        <w:rPr>
          <w:rFonts w:ascii="仿宋_GB2312" w:hAnsi="仿宋_GB2312" w:cs="仿宋_GB2312" w:eastAsia="仿宋_GB2312"/>
        </w:rPr>
        <w:t>委托，拟对</w:t>
      </w:r>
      <w:r>
        <w:rPr>
          <w:rFonts w:ascii="仿宋_GB2312" w:hAnsi="仿宋_GB2312" w:cs="仿宋_GB2312" w:eastAsia="仿宋_GB2312"/>
        </w:rPr>
        <w:t>采购高频电灼仪、脉冲磁场刺激仪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ZBZB-2026-3005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采购高频电灼仪、脉冲磁场刺激仪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采购高频电灼仪、脉冲磁场刺激仪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采购包1（采购高频电灼仪、脉冲磁场刺激仪）：属于专门面向中小企业采购。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1、营业执照：企业法人具有有效的营业执照（具备统一社会信用代码）；事业法人应具有有效的事业单位法人证；其他组织应具有合法证明文件；自然人应提供有效的自然人身份证明。并进行电子签章</w:t>
      </w:r>
    </w:p>
    <w:p>
      <w:pPr>
        <w:pStyle w:val="null3"/>
      </w:pPr>
      <w:r>
        <w:rPr>
          <w:rFonts w:ascii="仿宋_GB2312" w:hAnsi="仿宋_GB2312" w:cs="仿宋_GB2312" w:eastAsia="仿宋_GB2312"/>
        </w:rPr>
        <w:t>2、资质要求：供应商为制造商的需提供《医疗器械生产许可证》及所投产品的《医疗器械注册证》;供应商为代理商的需提供《医疗器械经营许可证》或《第二类医疗器械经营备案凭证》和制造商的《医疗器械生产许可证》及所投产品的《医疗器械注册证》。</w:t>
      </w:r>
    </w:p>
    <w:p>
      <w:pPr>
        <w:pStyle w:val="null3"/>
      </w:pPr>
      <w:r>
        <w:rPr>
          <w:rFonts w:ascii="仿宋_GB2312" w:hAnsi="仿宋_GB2312" w:cs="仿宋_GB2312" w:eastAsia="仿宋_GB2312"/>
        </w:rPr>
        <w:t>3、法定代表人（负责人）授权委托书身份证明/法定代表人（负责人）授权委托书：供应商代表应提供法定代表人（负责人）授权委托书（附法定代表人（负责人）及被授权人身份证复印件或扫描件），法定代表人（负责人）直接参加须提供法定代表人（负责人）授权委托书身份证明书及身份证复印件或扫描件。并进行电子签章。</w:t>
      </w:r>
    </w:p>
    <w:p>
      <w:pPr>
        <w:pStyle w:val="null3"/>
      </w:pPr>
      <w:r>
        <w:rPr>
          <w:rFonts w:ascii="仿宋_GB2312" w:hAnsi="仿宋_GB2312" w:cs="仿宋_GB2312" w:eastAsia="仿宋_GB2312"/>
        </w:rPr>
        <w:t>4、财务状况报告：提供2025年度经审计的财务审计报告（成立时间至提交响应文件截止时间不足一年的单位，可提供成立后任意时间段的资产负债表、利润表、现金流量表）或其基本存款账户开户银行出具的本年度资信证明（附开户许可证或基本存款账户信息）。并进行电子签章。</w:t>
      </w:r>
    </w:p>
    <w:p>
      <w:pPr>
        <w:pStyle w:val="null3"/>
      </w:pPr>
      <w:r>
        <w:rPr>
          <w:rFonts w:ascii="仿宋_GB2312" w:hAnsi="仿宋_GB2312" w:cs="仿宋_GB2312" w:eastAsia="仿宋_GB2312"/>
        </w:rPr>
        <w:t>5、税收缴纳证明：提供2025年8月1日至投标截止日已缴纳任意一个月纳税证明或完税证明，依法免税的单位应提供相关证明材料。并进行电子签章。</w:t>
      </w:r>
    </w:p>
    <w:p>
      <w:pPr>
        <w:pStyle w:val="null3"/>
      </w:pPr>
      <w:r>
        <w:rPr>
          <w:rFonts w:ascii="仿宋_GB2312" w:hAnsi="仿宋_GB2312" w:cs="仿宋_GB2312" w:eastAsia="仿宋_GB2312"/>
        </w:rPr>
        <w:t>6、社会保障资金缴纳证明：提供2025年8月1日至投标截止日任意一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7、投标人应具有履行合同所必需的设备和专业技术能力：提供具备履行合同所必需的设备和专业技术能力的证明材料承诺。并进行电子签章。</w:t>
      </w:r>
    </w:p>
    <w:p>
      <w:pPr>
        <w:pStyle w:val="null3"/>
      </w:pPr>
      <w:r>
        <w:rPr>
          <w:rFonts w:ascii="仿宋_GB2312" w:hAnsi="仿宋_GB2312" w:cs="仿宋_GB2312" w:eastAsia="仿宋_GB2312"/>
        </w:rPr>
        <w:t>8、无重大违法记录的书面声明：参加政府采购活动前3年内在经营活动中没有重大违法记录的书面声明。并进行电子签章。</w:t>
      </w:r>
    </w:p>
    <w:p>
      <w:pPr>
        <w:pStyle w:val="null3"/>
      </w:pPr>
      <w:r>
        <w:rPr>
          <w:rFonts w:ascii="仿宋_GB2312" w:hAnsi="仿宋_GB2312" w:cs="仿宋_GB2312" w:eastAsia="仿宋_GB2312"/>
        </w:rPr>
        <w:t>9、信用中国查询：供应商不得为“信用中国”网站（www.creditchi na.gov.cn）中列入失信被执行人和重大税收违法案件当事人名单的供应商，不得为中国政府采购网（www.ccgp.gov.cn）政府采购严重违法失信行为记录名单中被财政部门禁止参加政府采购活动的供应商。并进行电子签章。</w:t>
      </w:r>
    </w:p>
    <w:p>
      <w:pPr>
        <w:pStyle w:val="null3"/>
      </w:pPr>
      <w:r>
        <w:rPr>
          <w:rFonts w:ascii="仿宋_GB2312" w:hAnsi="仿宋_GB2312" w:cs="仿宋_GB2312" w:eastAsia="仿宋_GB2312"/>
        </w:rPr>
        <w:t>10、控股关系：单位负责人为同一人或者存在直接控股、管理关系的不同单位，不得参加同一合同项下的政府采购活动。并进行电子签章。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11、本项目专门面向中小企业采购：本项目专门面向中小企业采购，供应商须为中小企业，并提供声明函。并进行电子签章。</w:t>
      </w:r>
    </w:p>
    <w:p>
      <w:pPr>
        <w:pStyle w:val="null3"/>
      </w:pPr>
      <w:r>
        <w:rPr>
          <w:rFonts w:ascii="仿宋_GB2312" w:hAnsi="仿宋_GB2312" w:cs="仿宋_GB2312" w:eastAsia="仿宋_GB2312"/>
        </w:rPr>
        <w:t>12、非联合体声明：本项目不接受联合体投标。并进行电子签章。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临潼区西关正街99号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029-83851009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经协商由中标供应商按国家发展和改革委员发改价格【2011】534号文规定取费标准向采购代理机构支付招标代理服务费（包含“招标代理费、会务费（如有）”）；代理服务费由中标供应商在领取成交通知书前，向陕西正邦招标有限责任公司支付。如本项目各包服务费不足伍仟元则供应商按伍仟元支付服务费；名称：陕西正邦招标有限责任公司 开户行：平安银行股西安分行营业部/平安银行西安分行 账号：30205380002149 备注：请注明费用信息“ZBZB-2026-3005招标服务费”。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西安市临潼区妇幼保健计划生育服务中心</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西安市临潼区妇幼保健计划生育服务中心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（1）现场验收：设备及其备附件到达采购人指定地点后，采购人根据合同要求，在成交供应商和采购人双方同时在场的情况下，进行外观验收，确认产地、规格、型号和数量。 （2）安装调试：成交供应商应配合采购人的工期要求，负责在现场对设备进行安装、调试和试运行，直至验收合格。成交供应商应提供全部安装、调试过程中所需的材料、设施设备、人工等。 （3）成交供应商应向采购人提交项目实施过程中的所有资料，以便采购人日后管理和维护。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联系人：付工</w:t>
      </w:r>
    </w:p>
    <w:p>
      <w:pPr>
        <w:pStyle w:val="null3"/>
      </w:pPr>
      <w:r>
        <w:rPr>
          <w:rFonts w:ascii="仿宋_GB2312" w:hAnsi="仿宋_GB2312" w:cs="仿宋_GB2312" w:eastAsia="仿宋_GB2312"/>
        </w:rPr>
        <w:t>联系电话：029-85578186-830</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采购高频电灼仪、脉冲磁场刺激仪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采购高频电灼仪、脉冲磁场刺激仪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标的名称：采购高频电灼仪、脉冲磁场刺激仪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高频电灼仪（核心产品）</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技术参数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工作频率：工作频率为</w:t>
            </w:r>
            <w:r>
              <w:rPr>
                <w:rFonts w:ascii="仿宋_GB2312" w:hAnsi="仿宋_GB2312" w:cs="仿宋_GB2312" w:eastAsia="仿宋_GB2312"/>
                <w:sz w:val="24"/>
              </w:rPr>
              <w:t>1MHz,允许误差为±10%;</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输出功率：输出功率为</w:t>
            </w:r>
            <w:r>
              <w:rPr>
                <w:rFonts w:ascii="仿宋_GB2312" w:hAnsi="仿宋_GB2312" w:cs="仿宋_GB2312" w:eastAsia="仿宋_GB2312"/>
                <w:sz w:val="24"/>
              </w:rPr>
              <w:t>1-45W连续可调,输出功率误差不大于±20%,且最大输出功率应不超过50W。</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输入电压：</w:t>
            </w:r>
            <w:r>
              <w:rPr>
                <w:rFonts w:ascii="仿宋_GB2312" w:hAnsi="仿宋_GB2312" w:cs="仿宋_GB2312" w:eastAsia="仿宋_GB2312"/>
                <w:sz w:val="24"/>
              </w:rPr>
              <w:t>0-</w:t>
            </w:r>
            <w:r>
              <w:rPr>
                <w:rFonts w:ascii="仿宋_GB2312" w:hAnsi="仿宋_GB2312" w:cs="仿宋_GB2312" w:eastAsia="仿宋_GB2312"/>
                <w:sz w:val="24"/>
              </w:rPr>
              <w:t>220V、</w:t>
            </w:r>
          </w:p>
          <w:p>
            <w:pPr>
              <w:pStyle w:val="null3"/>
              <w:jc w:val="left"/>
            </w:pPr>
            <w:r>
              <w:rPr>
                <w:rFonts w:ascii="仿宋_GB2312" w:hAnsi="仿宋_GB2312" w:cs="仿宋_GB2312" w:eastAsia="仿宋_GB2312"/>
                <w:sz w:val="24"/>
              </w:rPr>
              <w:t>4、输出频率：0-</w:t>
            </w:r>
            <w:r>
              <w:rPr>
                <w:rFonts w:ascii="仿宋_GB2312" w:hAnsi="仿宋_GB2312" w:cs="仿宋_GB2312" w:eastAsia="仿宋_GB2312"/>
                <w:sz w:val="24"/>
              </w:rPr>
              <w:t>50Hz</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输入功率：</w:t>
            </w:r>
            <w:r>
              <w:rPr>
                <w:rFonts w:ascii="仿宋_GB2312" w:hAnsi="仿宋_GB2312" w:cs="仿宋_GB2312" w:eastAsia="仿宋_GB2312"/>
                <w:sz w:val="24"/>
              </w:rPr>
              <w:t>0-</w:t>
            </w:r>
            <w:r>
              <w:rPr>
                <w:rFonts w:ascii="仿宋_GB2312" w:hAnsi="仿宋_GB2312" w:cs="仿宋_GB2312" w:eastAsia="仿宋_GB2312"/>
                <w:sz w:val="24"/>
              </w:rPr>
              <w:t>5</w:t>
            </w:r>
            <w:r>
              <w:rPr>
                <w:rFonts w:ascii="仿宋_GB2312" w:hAnsi="仿宋_GB2312" w:cs="仿宋_GB2312" w:eastAsia="仿宋_GB2312"/>
                <w:sz w:val="24"/>
              </w:rPr>
              <w:t>00VA</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设备正常工作噪声应不大于</w:t>
            </w:r>
            <w:r>
              <w:rPr>
                <w:rFonts w:ascii="仿宋_GB2312" w:hAnsi="仿宋_GB2312" w:cs="仿宋_GB2312" w:eastAsia="仿宋_GB2312"/>
                <w:sz w:val="24"/>
              </w:rPr>
              <w:t>6</w:t>
            </w:r>
            <w:r>
              <w:rPr>
                <w:rFonts w:ascii="仿宋_GB2312" w:hAnsi="仿宋_GB2312" w:cs="仿宋_GB2312" w:eastAsia="仿宋_GB2312"/>
                <w:sz w:val="24"/>
              </w:rPr>
              <w:t>0</w:t>
            </w:r>
            <w:r>
              <w:rPr>
                <w:rFonts w:ascii="仿宋_GB2312" w:hAnsi="仿宋_GB2312" w:cs="仿宋_GB2312" w:eastAsia="仿宋_GB2312"/>
                <w:sz w:val="24"/>
              </w:rPr>
              <w:t xml:space="preserve"> dB(A)。</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电源电压在额定值</w:t>
            </w:r>
            <w:r>
              <w:rPr>
                <w:rFonts w:ascii="仿宋_GB2312" w:hAnsi="仿宋_GB2312" w:cs="仿宋_GB2312" w:eastAsia="仿宋_GB2312"/>
                <w:sz w:val="24"/>
              </w:rPr>
              <w:t>±10%波动时，治疗仪输出功率变化不大于额定电压下输出的±15%。</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治疗仪配有输出指示装置，输出指示装置能反映输出状态。</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治疗仪配有输出功率控制器，控制器能使输出功率减少到等于或小于最大输出功率的</w:t>
            </w:r>
            <w:r>
              <w:rPr>
                <w:rFonts w:ascii="仿宋_GB2312" w:hAnsi="仿宋_GB2312" w:cs="仿宋_GB2312" w:eastAsia="仿宋_GB2312"/>
                <w:sz w:val="24"/>
              </w:rPr>
              <w:t>5%。</w:t>
            </w:r>
          </w:p>
          <w:p>
            <w:pPr>
              <w:pStyle w:val="null3"/>
              <w:spacing w:after="165"/>
              <w:jc w:val="both"/>
            </w:pPr>
            <w:r>
              <w:rPr>
                <w:rFonts w:ascii="仿宋_GB2312" w:hAnsi="仿宋_GB2312" w:cs="仿宋_GB2312" w:eastAsia="仿宋_GB2312"/>
                <w:sz w:val="24"/>
              </w:rPr>
              <w:t>10、整机符合GB 9706.1-2020 和GB 9706.202-2021的要求</w:t>
            </w:r>
          </w:p>
          <w:p>
            <w:pPr>
              <w:pStyle w:val="null3"/>
              <w:jc w:val="left"/>
            </w:pPr>
            <w:r>
              <w:rPr>
                <w:rFonts w:ascii="仿宋_GB2312" w:hAnsi="仿宋_GB2312" w:cs="仿宋_GB2312" w:eastAsia="仿宋_GB2312"/>
                <w:sz w:val="24"/>
              </w:rPr>
              <w:t>二、硬件</w:t>
            </w:r>
          </w:p>
          <w:p>
            <w:pPr>
              <w:pStyle w:val="null3"/>
              <w:spacing w:after="165"/>
              <w:jc w:val="both"/>
            </w:pPr>
            <w:r>
              <w:rPr>
                <w:rFonts w:ascii="仿宋_GB2312" w:hAnsi="仿宋_GB2312" w:cs="仿宋_GB2312" w:eastAsia="仿宋_GB2312"/>
                <w:sz w:val="24"/>
              </w:rPr>
              <w:t>1、显示屏：为彩色液晶触摸屏，≥14寸，易于操作。</w:t>
            </w:r>
          </w:p>
          <w:p>
            <w:pPr>
              <w:pStyle w:val="null3"/>
              <w:spacing w:after="165"/>
              <w:jc w:val="both"/>
            </w:pPr>
            <w:r>
              <w:rPr>
                <w:rFonts w:ascii="仿宋_GB2312" w:hAnsi="仿宋_GB2312" w:cs="仿宋_GB2312" w:eastAsia="仿宋_GB2312"/>
                <w:sz w:val="24"/>
              </w:rPr>
              <w:t>2、设备配备治疗手柄4组，共8个电极手柄，满足不同临床治疗需求。</w:t>
            </w:r>
          </w:p>
          <w:p>
            <w:pPr>
              <w:pStyle w:val="null3"/>
              <w:spacing w:after="165"/>
              <w:jc w:val="both"/>
            </w:pPr>
            <w:r>
              <w:rPr>
                <w:rFonts w:ascii="仿宋_GB2312" w:hAnsi="仿宋_GB2312" w:cs="仿宋_GB2312" w:eastAsia="仿宋_GB2312"/>
                <w:sz w:val="24"/>
              </w:rPr>
              <w:t>3、手柄电极尺寸：直径为2.5cm，5cm，6cm，7.5cm，9cm，方便作用于人体不同部位的治疗。</w:t>
            </w:r>
          </w:p>
          <w:p>
            <w:pPr>
              <w:pStyle w:val="null3"/>
              <w:spacing w:after="165"/>
              <w:jc w:val="both"/>
            </w:pPr>
            <w:r>
              <w:rPr>
                <w:rFonts w:ascii="仿宋_GB2312" w:hAnsi="仿宋_GB2312" w:cs="仿宋_GB2312" w:eastAsia="仿宋_GB2312"/>
                <w:sz w:val="24"/>
              </w:rPr>
              <w:t>4、设备具有3个通道，一个通道连接负极板，其他两个通道连接电阻和电容手柄。</w:t>
            </w:r>
          </w:p>
          <w:p>
            <w:pPr>
              <w:pStyle w:val="null3"/>
              <w:spacing w:after="165"/>
              <w:jc w:val="both"/>
            </w:pPr>
            <w:r>
              <w:rPr>
                <w:rFonts w:ascii="仿宋_GB2312" w:hAnsi="仿宋_GB2312" w:cs="仿宋_GB2312" w:eastAsia="仿宋_GB2312"/>
                <w:sz w:val="24"/>
              </w:rPr>
              <w:t>5、设备配备有仪器多功能推车：配备立式台车及脚轮，双层抽屉方便存放配件及物品，带有自主加热功能。</w:t>
            </w:r>
          </w:p>
          <w:p>
            <w:pPr>
              <w:pStyle w:val="null3"/>
              <w:spacing w:after="165"/>
              <w:jc w:val="both"/>
            </w:pPr>
            <w:r>
              <w:rPr>
                <w:rFonts w:ascii="仿宋_GB2312" w:hAnsi="仿宋_GB2312" w:cs="仿宋_GB2312" w:eastAsia="仿宋_GB2312"/>
                <w:sz w:val="24"/>
              </w:rPr>
              <w:t>6、防止负极板温度过低，体验感差，推车上有加热功能，可以将温度升高到人体舒适区间。</w:t>
            </w:r>
          </w:p>
          <w:p>
            <w:pPr>
              <w:pStyle w:val="null3"/>
              <w:spacing w:after="165"/>
              <w:jc w:val="both"/>
            </w:pPr>
            <w:r>
              <w:rPr>
                <w:rFonts w:ascii="仿宋_GB2312" w:hAnsi="仿宋_GB2312" w:cs="仿宋_GB2312" w:eastAsia="仿宋_GB2312"/>
                <w:sz w:val="24"/>
              </w:rPr>
              <w:t>7、手柄和电极均有连接对齐标记，防止出现不对称连接影响使用。</w:t>
            </w:r>
          </w:p>
          <w:p>
            <w:pPr>
              <w:pStyle w:val="null3"/>
              <w:spacing w:after="165"/>
              <w:jc w:val="both"/>
            </w:pPr>
            <w:r>
              <w:rPr>
                <w:rFonts w:ascii="仿宋_GB2312" w:hAnsi="仿宋_GB2312" w:cs="仿宋_GB2312" w:eastAsia="仿宋_GB2312"/>
                <w:sz w:val="24"/>
              </w:rPr>
              <w:t>8、屏幕配有独立USB连接插孔，可自由传输数据及连接外部网络。</w:t>
            </w:r>
          </w:p>
          <w:p>
            <w:pPr>
              <w:pStyle w:val="null3"/>
              <w:spacing w:after="165"/>
              <w:jc w:val="both"/>
            </w:pPr>
            <w:r>
              <w:rPr>
                <w:rFonts w:ascii="仿宋_GB2312" w:hAnsi="仿宋_GB2312" w:cs="仿宋_GB2312" w:eastAsia="仿宋_GB2312"/>
                <w:sz w:val="24"/>
              </w:rPr>
              <w:t>三、软件功能</w:t>
            </w:r>
          </w:p>
          <w:p>
            <w:pPr>
              <w:pStyle w:val="null3"/>
              <w:spacing w:after="165"/>
              <w:jc w:val="both"/>
            </w:pPr>
            <w:r>
              <w:rPr>
                <w:rFonts w:ascii="仿宋_GB2312" w:hAnsi="仿宋_GB2312" w:cs="仿宋_GB2312" w:eastAsia="仿宋_GB2312"/>
                <w:sz w:val="24"/>
              </w:rPr>
              <w:t>1、操作简单，可一键进入治疗界面。</w:t>
            </w:r>
          </w:p>
          <w:p>
            <w:pPr>
              <w:pStyle w:val="null3"/>
              <w:spacing w:after="165"/>
              <w:jc w:val="both"/>
            </w:pPr>
            <w:r>
              <w:rPr>
                <w:rFonts w:ascii="仿宋_GB2312" w:hAnsi="仿宋_GB2312" w:cs="仿宋_GB2312" w:eastAsia="仿宋_GB2312"/>
                <w:sz w:val="24"/>
              </w:rPr>
              <w:t>2、治疗提示音：治疗开始和治疗结束有提示音，音量大小可调节。</w:t>
            </w:r>
          </w:p>
          <w:p>
            <w:pPr>
              <w:pStyle w:val="null3"/>
              <w:spacing w:after="165"/>
              <w:jc w:val="both"/>
            </w:pPr>
            <w:r>
              <w:rPr>
                <w:rFonts w:ascii="仿宋_GB2312" w:hAnsi="仿宋_GB2312" w:cs="仿宋_GB2312" w:eastAsia="仿宋_GB2312"/>
                <w:sz w:val="24"/>
              </w:rPr>
              <w:t>3、治疗时间：1-60分钟可调，步进1分钟。</w:t>
            </w:r>
          </w:p>
          <w:p>
            <w:pPr>
              <w:pStyle w:val="null3"/>
              <w:spacing w:after="165"/>
              <w:jc w:val="both"/>
            </w:pPr>
            <w:r>
              <w:rPr>
                <w:rFonts w:ascii="仿宋_GB2312" w:hAnsi="仿宋_GB2312" w:cs="仿宋_GB2312" w:eastAsia="仿宋_GB2312"/>
                <w:sz w:val="24"/>
              </w:rPr>
              <w:t>4、治疗界面显示不同治疗部位：面部，颈部，腹部，背部，腿部等，不少于8个治疗部位。</w:t>
            </w:r>
          </w:p>
          <w:p>
            <w:pPr>
              <w:pStyle w:val="null3"/>
              <w:spacing w:after="165"/>
              <w:jc w:val="both"/>
            </w:pPr>
            <w:r>
              <w:rPr>
                <w:rFonts w:ascii="仿宋_GB2312" w:hAnsi="仿宋_GB2312" w:cs="仿宋_GB2312" w:eastAsia="仿宋_GB2312"/>
                <w:sz w:val="24"/>
              </w:rPr>
              <w:t>5、治疗模式：电容模式和电阻模式可自由相互切换，切换过程不超过5秒钟，操作过程方便且快捷。</w:t>
            </w:r>
          </w:p>
          <w:p>
            <w:pPr>
              <w:pStyle w:val="null3"/>
              <w:spacing w:after="165"/>
              <w:jc w:val="both"/>
            </w:pPr>
            <w:r>
              <w:rPr>
                <w:rFonts w:ascii="仿宋_GB2312" w:hAnsi="仿宋_GB2312" w:cs="仿宋_GB2312" w:eastAsia="仿宋_GB2312"/>
                <w:sz w:val="24"/>
              </w:rPr>
              <w:t>6、功率可调节范围：1-100%，根据不同功率，有非热，温热，高热三种功效模式。</w:t>
            </w:r>
          </w:p>
          <w:p>
            <w:pPr>
              <w:pStyle w:val="null3"/>
              <w:spacing w:after="165"/>
              <w:jc w:val="both"/>
            </w:pPr>
            <w:r>
              <w:rPr>
                <w:rFonts w:ascii="仿宋_GB2312" w:hAnsi="仿宋_GB2312" w:cs="仿宋_GB2312" w:eastAsia="仿宋_GB2312"/>
                <w:sz w:val="24"/>
              </w:rPr>
              <w:t>7、设备屏幕上有实时温度监测功能，电极表面温度超过41摄氏度过热后，手柄电极离开身体自动断电，自动关闭电流输出，提高患者治疗过程中的安全性。</w:t>
            </w:r>
          </w:p>
          <w:p>
            <w:pPr>
              <w:pStyle w:val="null3"/>
              <w:spacing w:after="165"/>
              <w:jc w:val="both"/>
            </w:pPr>
            <w:r>
              <w:rPr>
                <w:rFonts w:ascii="仿宋_GB2312" w:hAnsi="仿宋_GB2312" w:cs="仿宋_GB2312" w:eastAsia="仿宋_GB2312"/>
                <w:sz w:val="24"/>
              </w:rPr>
              <w:t>8、具有患者信息存储功能，可以查找患者操作部位和操作时间,方便进行患者管理。</w:t>
            </w:r>
          </w:p>
          <w:p>
            <w:pPr>
              <w:pStyle w:val="null3"/>
              <w:spacing w:after="165"/>
              <w:jc w:val="both"/>
            </w:pPr>
            <w:r>
              <w:rPr>
                <w:rFonts w:ascii="仿宋_GB2312" w:hAnsi="仿宋_GB2312" w:cs="仿宋_GB2312" w:eastAsia="仿宋_GB2312"/>
                <w:sz w:val="24"/>
              </w:rPr>
              <w:t>9、治疗过程中当处于腹部治疗操作时，需选择中号或者大号的电极。当做浅层治疗时，选择电容模式，当做深层治疗，选择电阻模式。</w:t>
            </w:r>
          </w:p>
          <w:p>
            <w:pPr>
              <w:pStyle w:val="null3"/>
              <w:spacing w:after="165"/>
              <w:jc w:val="both"/>
            </w:pPr>
            <w:r>
              <w:rPr>
                <w:rFonts w:ascii="仿宋_GB2312" w:hAnsi="仿宋_GB2312" w:cs="仿宋_GB2312" w:eastAsia="仿宋_GB2312"/>
                <w:sz w:val="24"/>
              </w:rPr>
              <w:t>10、软件提供终身免费升级服务</w:t>
            </w:r>
          </w:p>
          <w:p>
            <w:pPr>
              <w:pStyle w:val="null3"/>
              <w:spacing w:after="165"/>
              <w:jc w:val="both"/>
            </w:pPr>
            <w:r>
              <w:rPr>
                <w:rFonts w:ascii="仿宋_GB2312" w:hAnsi="仿宋_GB2312" w:cs="仿宋_GB2312" w:eastAsia="仿宋_GB2312"/>
                <w:sz w:val="24"/>
              </w:rPr>
              <w:t>11、设备使用寿命为10年</w:t>
            </w:r>
          </w:p>
          <w:p>
            <w:pPr>
              <w:pStyle w:val="null3"/>
              <w:spacing w:after="165"/>
              <w:jc w:val="both"/>
            </w:pPr>
            <w:r>
              <w:rPr>
                <w:rFonts w:ascii="仿宋_GB2312" w:hAnsi="仿宋_GB2312" w:cs="仿宋_GB2312" w:eastAsia="仿宋_GB2312"/>
                <w:sz w:val="24"/>
              </w:rPr>
              <w:t>12、售后服务：出现故障，2小时内响应，48小时上门。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脉冲磁场刺激仪</w:t>
            </w:r>
          </w:p>
          <w:p>
            <w:pPr>
              <w:pStyle w:val="null3"/>
              <w:jc w:val="both"/>
            </w:pPr>
            <w:r>
              <w:rPr>
                <w:rFonts w:ascii="仿宋_GB2312" w:hAnsi="仿宋_GB2312" w:cs="仿宋_GB2312" w:eastAsia="仿宋_GB2312"/>
                <w:sz w:val="24"/>
              </w:rPr>
              <w:t>一、硬件性能</w:t>
            </w:r>
          </w:p>
          <w:p>
            <w:pPr>
              <w:pStyle w:val="null3"/>
              <w:jc w:val="both"/>
            </w:pPr>
            <w:r>
              <w:rPr>
                <w:rFonts w:ascii="仿宋_GB2312" w:hAnsi="仿宋_GB2312" w:cs="仿宋_GB2312" w:eastAsia="仿宋_GB2312"/>
                <w:sz w:val="24"/>
              </w:rPr>
              <w:t>★1．脉冲磁场</w:t>
            </w:r>
            <w:r>
              <w:rPr>
                <w:rFonts w:ascii="仿宋_GB2312" w:hAnsi="仿宋_GB2312" w:cs="仿宋_GB2312" w:eastAsia="仿宋_GB2312"/>
                <w:sz w:val="24"/>
              </w:rPr>
              <w:t>刺激仪</w:t>
            </w:r>
            <w:r>
              <w:rPr>
                <w:rFonts w:ascii="仿宋_GB2312" w:hAnsi="仿宋_GB2312" w:cs="仿宋_GB2312" w:eastAsia="仿宋_GB2312"/>
                <w:sz w:val="24"/>
              </w:rPr>
              <w:t>符合行业标准</w:t>
            </w:r>
            <w:r>
              <w:rPr>
                <w:rFonts w:ascii="仿宋_GB2312" w:hAnsi="仿宋_GB2312" w:cs="仿宋_GB2312" w:eastAsia="仿宋_GB2312"/>
                <w:sz w:val="24"/>
              </w:rPr>
              <w:t>YY9706.102-2021的要求；</w:t>
            </w:r>
          </w:p>
          <w:p>
            <w:pPr>
              <w:pStyle w:val="null3"/>
              <w:jc w:val="both"/>
            </w:pPr>
            <w:r>
              <w:rPr>
                <w:rFonts w:ascii="仿宋_GB2312" w:hAnsi="仿宋_GB2312" w:cs="仿宋_GB2312" w:eastAsia="仿宋_GB2312"/>
                <w:sz w:val="24"/>
              </w:rPr>
              <w:t>2.一体机整机通过电磁兼容性EMC测试，更安全；</w:t>
            </w:r>
          </w:p>
          <w:p>
            <w:pPr>
              <w:pStyle w:val="null3"/>
              <w:jc w:val="both"/>
            </w:pPr>
            <w:r>
              <w:rPr>
                <w:rFonts w:ascii="仿宋_GB2312" w:hAnsi="仿宋_GB2312" w:cs="仿宋_GB2312" w:eastAsia="仿宋_GB2312"/>
                <w:sz w:val="24"/>
              </w:rPr>
              <w:t>3.通过刺激运动神经元诱导肌肉收缩。</w:t>
            </w:r>
          </w:p>
          <w:p>
            <w:pPr>
              <w:pStyle w:val="null3"/>
              <w:jc w:val="both"/>
            </w:pPr>
            <w:r>
              <w:rPr>
                <w:rFonts w:ascii="仿宋_GB2312" w:hAnsi="仿宋_GB2312" w:cs="仿宋_GB2312" w:eastAsia="仿宋_GB2312"/>
                <w:sz w:val="24"/>
              </w:rPr>
              <w:t>★4．双通道主机，双线圈配置，臀部、腹部模块可以自由切换，无需更换线圈。</w:t>
            </w:r>
          </w:p>
          <w:p>
            <w:pPr>
              <w:pStyle w:val="null3"/>
              <w:jc w:val="both"/>
            </w:pPr>
            <w:r>
              <w:rPr>
                <w:rFonts w:ascii="仿宋_GB2312" w:hAnsi="仿宋_GB2312" w:cs="仿宋_GB2312" w:eastAsia="仿宋_GB2312"/>
                <w:sz w:val="24"/>
              </w:rPr>
              <w:t>5．屏幕≥15寸，触屏操作，非笔记本电脑，无跌落风险；</w:t>
            </w:r>
          </w:p>
          <w:p>
            <w:pPr>
              <w:pStyle w:val="null3"/>
              <w:jc w:val="both"/>
            </w:pPr>
            <w:r>
              <w:rPr>
                <w:rFonts w:ascii="仿宋_GB2312" w:hAnsi="仿宋_GB2312" w:cs="仿宋_GB2312" w:eastAsia="仿宋_GB2312"/>
                <w:sz w:val="24"/>
              </w:rPr>
              <w:t>★6．刺激线圈最大磁感应强度：≥6.0T，允差：±20%；</w:t>
            </w:r>
          </w:p>
          <w:p>
            <w:pPr>
              <w:pStyle w:val="null3"/>
              <w:jc w:val="both"/>
            </w:pPr>
            <w:r>
              <w:rPr>
                <w:rFonts w:ascii="仿宋_GB2312" w:hAnsi="仿宋_GB2312" w:cs="仿宋_GB2312" w:eastAsia="仿宋_GB2312"/>
                <w:sz w:val="24"/>
              </w:rPr>
              <w:t>7.能量可调节范围0%-100%，步进为1%；</w:t>
            </w:r>
          </w:p>
          <w:p>
            <w:pPr>
              <w:pStyle w:val="null3"/>
              <w:jc w:val="both"/>
            </w:pPr>
            <w:r>
              <w:rPr>
                <w:rFonts w:ascii="仿宋_GB2312" w:hAnsi="仿宋_GB2312" w:cs="仿宋_GB2312" w:eastAsia="仿宋_GB2312"/>
                <w:sz w:val="24"/>
              </w:rPr>
              <w:t>8.输出脉冲重复频率：0-100Hz可调；</w:t>
            </w:r>
          </w:p>
          <w:p>
            <w:pPr>
              <w:pStyle w:val="null3"/>
              <w:jc w:val="both"/>
            </w:pPr>
            <w:r>
              <w:rPr>
                <w:rFonts w:ascii="仿宋_GB2312" w:hAnsi="仿宋_GB2312" w:cs="仿宋_GB2312" w:eastAsia="仿宋_GB2312"/>
                <w:sz w:val="24"/>
              </w:rPr>
              <w:t>9．脉冲上升时间：50us±10μs</w:t>
            </w:r>
          </w:p>
          <w:p>
            <w:pPr>
              <w:pStyle w:val="null3"/>
              <w:jc w:val="both"/>
            </w:pPr>
            <w:r>
              <w:rPr>
                <w:rFonts w:ascii="仿宋_GB2312" w:hAnsi="仿宋_GB2312" w:cs="仿宋_GB2312" w:eastAsia="仿宋_GB2312"/>
                <w:sz w:val="24"/>
              </w:rPr>
              <w:t>10.冷却方式：风冷</w:t>
            </w:r>
          </w:p>
          <w:p>
            <w:pPr>
              <w:pStyle w:val="null3"/>
              <w:jc w:val="both"/>
            </w:pPr>
            <w:r>
              <w:rPr>
                <w:rFonts w:ascii="仿宋_GB2312" w:hAnsi="仿宋_GB2312" w:cs="仿宋_GB2312" w:eastAsia="仿宋_GB2312"/>
                <w:sz w:val="24"/>
              </w:rPr>
              <w:t>11.治疗时间：1-60min，允许误差±10%</w:t>
            </w:r>
          </w:p>
          <w:p>
            <w:pPr>
              <w:pStyle w:val="null3"/>
              <w:jc w:val="both"/>
            </w:pPr>
            <w:r>
              <w:rPr>
                <w:rFonts w:ascii="仿宋_GB2312" w:hAnsi="仿宋_GB2312" w:cs="仿宋_GB2312" w:eastAsia="仿宋_GB2312"/>
                <w:sz w:val="24"/>
              </w:rPr>
              <w:t>12.线圈数量：2把，且可以同时工作，效率高。</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具有温度保护功能，超出设定温度范围自动停止工作。</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有</w:t>
            </w:r>
            <w:r>
              <w:rPr>
                <w:rFonts w:ascii="仿宋_GB2312" w:hAnsi="仿宋_GB2312" w:cs="仿宋_GB2312" w:eastAsia="仿宋_GB2312"/>
                <w:sz w:val="24"/>
              </w:rPr>
              <w:t>USB 接口</w:t>
            </w:r>
            <w:r>
              <w:rPr>
                <w:rFonts w:ascii="仿宋_GB2312" w:hAnsi="仿宋_GB2312" w:cs="仿宋_GB2312" w:eastAsia="仿宋_GB2312"/>
                <w:sz w:val="24"/>
              </w:rPr>
              <w:t>，</w:t>
            </w:r>
            <w:r>
              <w:rPr>
                <w:rFonts w:ascii="仿宋_GB2312" w:hAnsi="仿宋_GB2312" w:cs="仿宋_GB2312" w:eastAsia="仿宋_GB2312"/>
                <w:sz w:val="24"/>
              </w:rPr>
              <w:t>用于软件升级；</w:t>
            </w:r>
          </w:p>
          <w:p>
            <w:pPr>
              <w:pStyle w:val="null3"/>
              <w:jc w:val="both"/>
            </w:pPr>
            <w:r>
              <w:rPr>
                <w:rFonts w:ascii="仿宋_GB2312" w:hAnsi="仿宋_GB2312" w:cs="仿宋_GB2312" w:eastAsia="仿宋_GB2312"/>
                <w:sz w:val="24"/>
              </w:rPr>
              <w:t>二、软件功能</w:t>
            </w:r>
          </w:p>
          <w:p>
            <w:pPr>
              <w:pStyle w:val="null3"/>
              <w:jc w:val="both"/>
            </w:pPr>
            <w:r>
              <w:rPr>
                <w:rFonts w:ascii="仿宋_GB2312" w:hAnsi="仿宋_GB2312" w:cs="仿宋_GB2312" w:eastAsia="仿宋_GB2312"/>
                <w:sz w:val="24"/>
              </w:rPr>
              <w:t>1．可进行输出强度、频率、输出时间、治疗状态的输出及调节，具有异常提醒功能；</w:t>
            </w:r>
          </w:p>
          <w:p>
            <w:pPr>
              <w:pStyle w:val="null3"/>
              <w:jc w:val="both"/>
            </w:pPr>
            <w:r>
              <w:rPr>
                <w:rFonts w:ascii="仿宋_GB2312" w:hAnsi="仿宋_GB2312" w:cs="仿宋_GB2312" w:eastAsia="仿宋_GB2312"/>
                <w:sz w:val="24"/>
              </w:rPr>
              <w:t>2．多种工作模式的选择，分为简单模式和专业模式，每个模式分别有两种阶段性的训练区分。</w:t>
            </w:r>
          </w:p>
          <w:p>
            <w:pPr>
              <w:pStyle w:val="null3"/>
              <w:jc w:val="both"/>
            </w:pPr>
            <w:r>
              <w:rPr>
                <w:rFonts w:ascii="仿宋_GB2312" w:hAnsi="仿宋_GB2312" w:cs="仿宋_GB2312" w:eastAsia="仿宋_GB2312"/>
                <w:sz w:val="24"/>
              </w:rPr>
              <w:t>3.具有不少于6个国家的语言程序；</w:t>
            </w:r>
          </w:p>
          <w:p>
            <w:pPr>
              <w:pStyle w:val="null3"/>
              <w:jc w:val="both"/>
            </w:pPr>
            <w:r>
              <w:rPr>
                <w:rFonts w:ascii="仿宋_GB2312" w:hAnsi="仿宋_GB2312" w:cs="仿宋_GB2312" w:eastAsia="仿宋_GB2312"/>
                <w:sz w:val="24"/>
              </w:rPr>
              <w:t>4.具有腹部，臀部，其他等多个部位的工作模式，具有不同治疗方案，且可自定义调节；</w:t>
            </w:r>
          </w:p>
          <w:p>
            <w:pPr>
              <w:pStyle w:val="null3"/>
              <w:jc w:val="both"/>
            </w:pPr>
            <w:r>
              <w:rPr>
                <w:rFonts w:ascii="仿宋_GB2312" w:hAnsi="仿宋_GB2312" w:cs="仿宋_GB2312" w:eastAsia="仿宋_GB2312"/>
                <w:sz w:val="24"/>
              </w:rPr>
              <w:t>5、整个治疗过程中，5分钟一次循环，分别包含热身模式，训练模式，放松模式，感受更佳。</w:t>
            </w:r>
          </w:p>
          <w:p>
            <w:pPr>
              <w:pStyle w:val="null3"/>
              <w:jc w:val="both"/>
            </w:pPr>
            <w:r>
              <w:rPr>
                <w:rFonts w:ascii="仿宋_GB2312" w:hAnsi="仿宋_GB2312" w:cs="仿宋_GB2312" w:eastAsia="仿宋_GB2312"/>
                <w:sz w:val="24"/>
              </w:rPr>
              <w:t>6、一键开机，无需单独注册，开机后可一键开展治疗。</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、软件提供终身免费升级服务</w:t>
            </w:r>
          </w:p>
          <w:p>
            <w:pPr>
              <w:pStyle w:val="null3"/>
              <w:jc w:val="both"/>
            </w:pPr>
            <w:r>
              <w:rPr>
                <w:rFonts w:ascii="仿宋_GB2312" w:hAnsi="仿宋_GB2312" w:cs="仿宋_GB2312" w:eastAsia="仿宋_GB2312"/>
                <w:sz w:val="24"/>
              </w:rPr>
              <w:t>8、设备使用寿命为10年</w:t>
            </w:r>
          </w:p>
          <w:p>
            <w:pPr>
              <w:pStyle w:val="null3"/>
            </w:pPr>
            <w:r>
              <w:rPr>
                <w:rFonts w:ascii="仿宋_GB2312" w:hAnsi="仿宋_GB2312" w:cs="仿宋_GB2312" w:eastAsia="仿宋_GB2312"/>
                <w:sz w:val="24"/>
              </w:rPr>
              <w:t>9、售后服务：出现故障，2小时内响应，48小时上门。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签订合同后30个日历日内交付。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其他，半年，达到付款条件起15个工作日内，支付合同总金额的40.0%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其他，质保期满，达到付款条件起15个工作日内，支付合同总金额的10.0%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（1）现场验收：设备及其备附件到达采购人指定地点后，采购人根据合同要求，在成交供应商和采购人双方同时在场的情况下，进行外观验收，确认产地、规格、型号和数量。 （2）安装调试：成交供应商应配合采购人的工期要求，负责在现场对设备进行安装、调试和试运行，直至验收合格。成交供应商应提供全部安装、调试过程中所需的材料、设施设备、人工等。 （3）成交供应商应向采购人提交项目实施过程中的所有资料，以便采购人日后管理和维护。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(1）从验收合格之日起开始计算，整机保修时间≥1年: （2）出具售后服务承诺书，报修后及时修理，不超过24小时: (3)质保期内凡本项目所涉及的产品在正常使用中出现的故障，均由成交供应商负贡提供免费检测维修、更换，更换的零部件应保证自更换之日起相同的质量保证期； （4）具有完整的售后服务响应体系：1小时内响应，2小时内到达现场，专业的技术服务售后服务人员（提供人员资质证明）；（5）保修期内反复维修仍不能排除故障的，由供货商换货； （6）质量保证期过后，硬件更换仅收取成本费用。。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1.供应商在投标时提供投标产品的宣传彩页（企业官方印刷，含产品真实彩色图片）； 2.提供投标产品标识内容（生产厂家、注册证号、型号规格、标准号、产品编号或系列号）； 3.合同总价包括：设备供应价、运杂费（含保险）、安装调试费、培训费、及其它相关费用； 4.培训要求：供应商应提供现场技术培训，保证使用人员正确操作设备； 5.交付需提供速查卡、保修卡、验收单、货品清单、合格证、说明书； 6.温馨提示：为顺利推进政府采购电子化交易平台应用工作，供应商需要在线提交所有通过电子化交易平台实施的政府采购项目的响应文件，同时线下提交纸质响应文件正本壹份、副本贰份。 纸质响应文件正副本分别胶装，标明供应商名称密封递交，递交截止时间同在线递交电子响应文件截止时间一致。 若电子响应文件与纸质响应文件不一致的，以电子响应文件为准；若正本和副本不符，以正本为准。 线下递交文件时间：开标截止时间后两个工作日之内。线下递交文件地点：西安市雁塔区朱雀大街南段69号长丰园三区5号楼9层。 纸质响应文件可邮寄，开标后两个工作日内，以签收时间为准。（联系人：付工；联系电话：029-85578186-830；邮寄地址：西安市雁塔区朱雀大街南段69号长丰园三区5号楼9层。）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企业法人具有有效的营业执照（具备统一社会信用代码）；事业法人应具有有效的事业单位法人证；其他组织应具有合法证明文件；自然人应提供有效的自然人身份证明。并进行电子签章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需提供《医疗器械生产许可证》及所投产品的《医疗器械注册证》;供应商为代理商的需提供《医疗器械经营许可证》或《第二类医疗器械经营备案凭证》和制造商的《医疗器械生产许可证》及所投产品的《医疗器械注册证》。</w:t>
            </w:r>
          </w:p>
        </w:tc>
        <w:tc>
          <w:tcPr>
            <w:tcW w:type="dxa" w:w="1661"/>
          </w:tcPr>
          <w:p>
            <w:pPr>
              <w:pStyle w:val="null3"/>
            </w:pPr>
            <w:r>
              <w:rPr>
                <w:rFonts w:ascii="仿宋_GB2312" w:hAnsi="仿宋_GB2312" w:cs="仿宋_GB2312" w:eastAsia="仿宋_GB2312"/>
              </w:rPr>
              <w:t>关于符合本国产品标准的声明函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法定代表人（负责人）授权委托书身份证明/法定代表人（负责人）授权委托书</w:t>
            </w:r>
          </w:p>
        </w:tc>
        <w:tc>
          <w:tcPr>
            <w:tcW w:type="dxa" w:w="3322"/>
          </w:tcPr>
          <w:p>
            <w:pPr>
              <w:pStyle w:val="null3"/>
            </w:pPr>
            <w:r>
              <w:rPr>
                <w:rFonts w:ascii="仿宋_GB2312" w:hAnsi="仿宋_GB2312" w:cs="仿宋_GB2312" w:eastAsia="仿宋_GB2312"/>
              </w:rPr>
              <w:t>供应商代表应提供法定代表人（负责人）授权委托书（附法定代表人（负责人）及被授权人身份证复印件或扫描件），法定代表人（负责人）直接参加须提供法定代表人（负责人）授权委托书身份证明书及身份证复印件或扫描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成立时间至提交响应文件截止时间不足一年的单位，可提供成立后任意时间段的资产负债表、利润表、现金流量表）或其基本存款账户开户银行出具的本年度资信证明（附开户许可证或基本存款账户信息）。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提供2025年8月1日至投标截止日已缴纳任意一个月纳税证明或完税证明，依法免税的单位应提供相关证明材料。并进行电子签章。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提供2025年8月1日至投标截止日任意一个月的社会保障资金缴存单据或社保机构开具的社会保险参保缴费情况证明，依法不需要缴纳社会保障资金的单位应提供相关证明材料。并进行电子签章。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投标人应具有履行合同所必需的设备和专业技术能力</w:t>
            </w:r>
          </w:p>
        </w:tc>
        <w:tc>
          <w:tcPr>
            <w:tcW w:type="dxa" w:w="3322"/>
          </w:tcPr>
          <w:p>
            <w:pPr>
              <w:pStyle w:val="null3"/>
            </w:pPr>
            <w:r>
              <w:rPr>
                <w:rFonts w:ascii="仿宋_GB2312" w:hAnsi="仿宋_GB2312" w:cs="仿宋_GB2312" w:eastAsia="仿宋_GB2312"/>
              </w:rPr>
              <w:t>提供具备履行合同所必需的设备和专业技术能力的证明材料承诺。并进行电子签章。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信用中国查询</w:t>
            </w:r>
          </w:p>
        </w:tc>
        <w:tc>
          <w:tcPr>
            <w:tcW w:type="dxa" w:w="3322"/>
          </w:tcPr>
          <w:p>
            <w:pPr>
              <w:pStyle w:val="null3"/>
            </w:pPr>
            <w:r>
              <w:rPr>
                <w:rFonts w:ascii="仿宋_GB2312" w:hAnsi="仿宋_GB2312" w:cs="仿宋_GB2312" w:eastAsia="仿宋_GB2312"/>
              </w:rPr>
              <w:t>供应商不得为“信用中国”网站（www.creditchi na.gov.cn）中列入失信被执行人和重大税收违法案件当事人名单的供应商，不得为中国政府采购网（www.ccgp.gov.cn）政府采购严重违法失信行为记录名单中被财政部门禁止参加政府采购活动的供应商。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本项目专门面向中小企业采购，供应商须为中小企业，并提供声明函。并进行电子签章。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投标产品技术参数清晰明确，符合使用要求，数量准确无缺漏项，技术指标完全响应招标文件要求，满足采购需求，计基本分27分；每负偏离一项扣1分，扣完为止。应逐条对应技术参数进行应答。 注（备注：提供相关技术参数佐证材料，如第三方检测报告或厂家检测报告或产品说明书或产品彩页或官网介绍截图等内容，标注页码并加盖供应商公章，予以证明其技术参数的响应性，如参数响应文字描述与证明材料不一致的以证明材料为准。），不提供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提供2023年4月1日至今类似业绩合同（以合同签订时间为准）；一个业绩得5分，最高得15分； 评审依据：提供完整合同复印件并加盖公章。不提供不得分。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4分，每有一个评审内容缺项扣0.5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 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