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B2929">
      <w:pPr>
        <w:pStyle w:val="4"/>
        <w:spacing w:line="360" w:lineRule="auto"/>
        <w:jc w:val="center"/>
        <w:outlineLvl w:val="0"/>
        <w:rPr>
          <w:rFonts w:ascii="宋体" w:hAnsi="宋体"/>
          <w:color w:val="auto"/>
          <w:highlight w:val="none"/>
        </w:rPr>
      </w:pPr>
      <w:bookmarkStart w:id="0" w:name="_GoBack"/>
      <w:r>
        <w:rPr>
          <w:rFonts w:ascii="宋体" w:hAnsi="宋体"/>
          <w:b/>
          <w:color w:val="auto"/>
          <w:sz w:val="36"/>
          <w:highlight w:val="none"/>
        </w:rPr>
        <w:t>拟签订合同文本</w:t>
      </w:r>
    </w:p>
    <w:bookmarkEnd w:id="0"/>
    <w:p w14:paraId="26683B2D">
      <w:pPr>
        <w:jc w:val="center"/>
        <w:rPr>
          <w:rFonts w:hint="eastAsia" w:ascii="宋体" w:hAnsi="宋体" w:eastAsia="宋体" w:cs="仿宋"/>
          <w:color w:val="auto"/>
          <w:sz w:val="24"/>
          <w:szCs w:val="24"/>
          <w:highlight w:val="none"/>
          <w:lang w:eastAsia="zh-CN"/>
        </w:rPr>
      </w:pPr>
      <w:r>
        <w:rPr>
          <w:rFonts w:hint="eastAsia" w:ascii="宋体" w:hAnsi="宋体" w:eastAsia="宋体" w:cs="仿宋"/>
          <w:color w:val="auto"/>
          <w:sz w:val="24"/>
          <w:szCs w:val="24"/>
          <w:highlight w:val="none"/>
          <w:lang w:eastAsia="zh-CN"/>
        </w:rPr>
        <w:t>（本格式条款供采购人和中标供应商双方签订合同参考，最终以采购人实际签订的合同为准）</w:t>
      </w:r>
    </w:p>
    <w:p w14:paraId="1E889896">
      <w:pPr>
        <w:jc w:val="center"/>
        <w:rPr>
          <w:rFonts w:hint="eastAsia" w:ascii="宋体" w:hAnsi="宋体" w:eastAsia="宋体" w:cs="宋体"/>
          <w:color w:val="auto"/>
          <w:sz w:val="24"/>
          <w:szCs w:val="24"/>
          <w:highlight w:val="none"/>
          <w:lang w:eastAsia="zh-CN"/>
        </w:rPr>
      </w:pPr>
    </w:p>
    <w:p w14:paraId="5F8F087F">
      <w:pPr>
        <w:spacing w:before="936" w:after="5616"/>
        <w:jc w:val="center"/>
        <w:rPr>
          <w:rFonts w:hint="eastAsia" w:ascii="宋体" w:hAnsi="宋体" w:eastAsia="宋体" w:cs="宋体"/>
          <w:b/>
          <w:spacing w:val="-6"/>
          <w:sz w:val="52"/>
          <w:highlight w:val="none"/>
        </w:rPr>
      </w:pPr>
      <w:r>
        <w:rPr>
          <w:rFonts w:hint="eastAsia" w:ascii="宋体" w:hAnsi="宋体" w:eastAsia="宋体" w:cs="宋体"/>
          <w:b/>
          <w:spacing w:val="57"/>
          <w:sz w:val="52"/>
          <w:highlight w:val="none"/>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294736D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745A99F">
            <w:pPr>
              <w:spacing w:line="360" w:lineRule="auto"/>
              <w:rPr>
                <w:rFonts w:hint="eastAsia" w:ascii="宋体" w:hAnsi="宋体" w:eastAsia="宋体" w:cs="宋体"/>
                <w:b/>
                <w:sz w:val="32"/>
                <w:highlight w:val="none"/>
              </w:rPr>
            </w:pPr>
            <w:r>
              <w:rPr>
                <w:rFonts w:hint="eastAsia" w:ascii="宋体" w:hAnsi="宋体" w:eastAsia="宋体" w:cs="宋体"/>
                <w:b/>
                <w:sz w:val="32"/>
                <w:highlight w:val="none"/>
              </w:rPr>
              <w:t>合同名称：</w:t>
            </w:r>
            <w:r>
              <w:rPr>
                <w:rFonts w:hint="eastAsia" w:ascii="宋体" w:hAnsi="宋体"/>
                <w:b/>
                <w:color w:val="auto"/>
                <w:sz w:val="28"/>
                <w:highlight w:val="none"/>
                <w:lang w:eastAsia="zh-CN"/>
              </w:rPr>
              <w:t>智水育人工程训练智能制造集成产线</w:t>
            </w:r>
            <w:r>
              <w:rPr>
                <w:rFonts w:hint="eastAsia" w:ascii="宋体" w:hAnsi="宋体" w:eastAsia="宋体" w:cs="宋体"/>
                <w:b/>
                <w:sz w:val="32"/>
                <w:highlight w:val="none"/>
                <w:u w:val="single"/>
              </w:rPr>
              <w:t xml:space="preserve">   </w:t>
            </w:r>
          </w:p>
          <w:p w14:paraId="4045BF82">
            <w:pPr>
              <w:spacing w:line="360" w:lineRule="auto"/>
              <w:rPr>
                <w:rFonts w:hint="eastAsia" w:ascii="宋体" w:hAnsi="宋体" w:eastAsia="宋体" w:cs="宋体"/>
                <w:highlight w:val="none"/>
              </w:rPr>
            </w:pPr>
            <w:r>
              <w:rPr>
                <w:rFonts w:hint="eastAsia" w:ascii="宋体" w:hAnsi="宋体" w:eastAsia="宋体" w:cs="宋体"/>
                <w:b/>
                <w:sz w:val="32"/>
                <w:highlight w:val="none"/>
              </w:rPr>
              <w:t>合同编号：</w:t>
            </w:r>
            <w:r>
              <w:rPr>
                <w:rFonts w:hint="eastAsia" w:ascii="宋体" w:hAnsi="宋体" w:eastAsia="宋体" w:cs="宋体"/>
                <w:b/>
                <w:iCs/>
                <w:sz w:val="32"/>
                <w:highlight w:val="none"/>
                <w:u w:val="single"/>
              </w:rPr>
              <w:t>采购计划编号（2026**HW***）</w:t>
            </w:r>
          </w:p>
        </w:tc>
      </w:tr>
    </w:tbl>
    <w:p w14:paraId="75ABAB22">
      <w:pPr>
        <w:rPr>
          <w:rFonts w:hint="eastAsia" w:ascii="宋体" w:hAnsi="宋体" w:eastAsia="宋体" w:cs="宋体"/>
          <w:b/>
          <w:sz w:val="24"/>
          <w:highlight w:val="none"/>
        </w:rPr>
      </w:pPr>
    </w:p>
    <w:p w14:paraId="7A8AEF52">
      <w:pPr>
        <w:jc w:val="right"/>
        <w:rPr>
          <w:rFonts w:hint="eastAsia" w:ascii="宋体" w:hAnsi="宋体" w:eastAsia="宋体" w:cs="宋体"/>
          <w:sz w:val="24"/>
          <w:highlight w:val="none"/>
        </w:rPr>
      </w:pPr>
    </w:p>
    <w:p w14:paraId="1A8E2100">
      <w:pPr>
        <w:jc w:val="right"/>
        <w:rPr>
          <w:rFonts w:hint="eastAsia" w:ascii="宋体" w:hAnsi="宋体" w:eastAsia="宋体" w:cs="宋体"/>
          <w:sz w:val="24"/>
          <w:highlight w:val="none"/>
        </w:rPr>
      </w:pPr>
    </w:p>
    <w:p w14:paraId="55EB2F5C">
      <w:pPr>
        <w:jc w:val="right"/>
        <w:rPr>
          <w:rFonts w:hint="eastAsia" w:ascii="宋体" w:hAnsi="宋体" w:eastAsia="宋体" w:cs="宋体"/>
          <w:sz w:val="24"/>
          <w:highlight w:val="none"/>
        </w:rPr>
      </w:pPr>
    </w:p>
    <w:p w14:paraId="63D4206F">
      <w:pPr>
        <w:rPr>
          <w:rFonts w:hint="eastAsia" w:ascii="宋体" w:hAnsi="宋体" w:eastAsia="宋体" w:cs="宋体"/>
          <w:sz w:val="32"/>
          <w:highlight w:val="none"/>
          <w:u w:val="single"/>
        </w:rPr>
      </w:pPr>
      <w:r>
        <w:rPr>
          <w:rFonts w:hint="eastAsia" w:ascii="宋体" w:hAnsi="宋体" w:eastAsia="宋体" w:cs="宋体"/>
          <w:sz w:val="32"/>
          <w:highlight w:val="none"/>
          <w:u w:val="single"/>
        </w:rPr>
        <w:br w:type="page"/>
      </w:r>
    </w:p>
    <w:p w14:paraId="15455E71">
      <w:pPr>
        <w:spacing w:before="312" w:after="312"/>
        <w:jc w:val="center"/>
        <w:rPr>
          <w:rFonts w:hint="eastAsia" w:asciiTheme="minorEastAsia" w:hAnsiTheme="minorEastAsia" w:eastAsiaTheme="minorEastAsia" w:cstheme="minorEastAsia"/>
          <w:b/>
          <w:bCs/>
          <w:color w:val="000000"/>
          <w:sz w:val="32"/>
          <w:szCs w:val="32"/>
          <w:highlight w:val="none"/>
          <w:u w:val="single"/>
        </w:rPr>
      </w:pPr>
      <w:r>
        <w:rPr>
          <w:rFonts w:hint="eastAsia" w:asciiTheme="minorEastAsia" w:hAnsiTheme="minorEastAsia" w:eastAsiaTheme="minorEastAsia" w:cstheme="minorEastAsia"/>
          <w:b/>
          <w:bCs/>
          <w:sz w:val="32"/>
          <w:szCs w:val="32"/>
          <w:highlight w:val="none"/>
          <w:lang w:eastAsia="zh-CN"/>
        </w:rPr>
        <w:t>智水育人工程训练智能制造集成产线</w:t>
      </w:r>
      <w:r>
        <w:rPr>
          <w:rFonts w:hint="eastAsia" w:asciiTheme="minorEastAsia" w:hAnsiTheme="minorEastAsia" w:eastAsiaTheme="minorEastAsia" w:cstheme="minorEastAsia"/>
          <w:b/>
          <w:bCs/>
          <w:sz w:val="32"/>
          <w:szCs w:val="32"/>
          <w:highlight w:val="none"/>
        </w:rPr>
        <w:t>合同</w:t>
      </w:r>
    </w:p>
    <w:p w14:paraId="5477409C">
      <w:pPr>
        <w:spacing w:line="360" w:lineRule="auto"/>
        <w:ind w:firstLine="480" w:firstLineChars="200"/>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根据《中华人民共和国民法典》《中华人民共和国政府采购法》等相关法规，</w:t>
      </w:r>
      <w:r>
        <w:rPr>
          <w:rFonts w:hint="eastAsia" w:asciiTheme="minorEastAsia" w:hAnsiTheme="minorEastAsia" w:eastAsiaTheme="minorEastAsia" w:cstheme="minorEastAsia"/>
          <w:b/>
          <w:bCs/>
          <w:color w:val="000000"/>
          <w:sz w:val="24"/>
          <w:szCs w:val="24"/>
          <w:highlight w:val="none"/>
        </w:rPr>
        <w:t>西安理工大学</w:t>
      </w:r>
      <w:r>
        <w:rPr>
          <w:rFonts w:hint="eastAsia" w:asciiTheme="minorEastAsia" w:hAnsiTheme="minorEastAsia" w:eastAsiaTheme="minorEastAsia" w:cstheme="minorEastAsia"/>
          <w:color w:val="000000"/>
          <w:sz w:val="24"/>
          <w:szCs w:val="24"/>
          <w:highlight w:val="none"/>
        </w:rPr>
        <w:t>(甲方)与</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(乙方)就甲方购置</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的采购项目，经双方协商达成如下合同条款：</w:t>
      </w:r>
    </w:p>
    <w:p w14:paraId="2AE18556">
      <w:pPr>
        <w:spacing w:line="360" w:lineRule="auto"/>
        <w:ind w:firstLine="482" w:firstLineChars="200"/>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一、标的物及技术要求</w:t>
      </w:r>
    </w:p>
    <w:p w14:paraId="5D039E04">
      <w:pPr>
        <w:spacing w:line="360" w:lineRule="auto"/>
        <w:ind w:firstLine="482" w:firstLineChars="200"/>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4"/>
        <w:gridCol w:w="1513"/>
        <w:gridCol w:w="1767"/>
        <w:gridCol w:w="1422"/>
        <w:gridCol w:w="939"/>
        <w:gridCol w:w="1323"/>
        <w:gridCol w:w="1075"/>
      </w:tblGrid>
      <w:tr w14:paraId="3088B2A4">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2380A">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D0398E">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4D06E">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87DE78">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AE41F">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BD3A9">
            <w:pPr>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单 价</w:t>
            </w:r>
          </w:p>
          <w:p w14:paraId="7B465407">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EF671">
            <w:pPr>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小 计</w:t>
            </w:r>
          </w:p>
          <w:p w14:paraId="1A3762ED">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（元）</w:t>
            </w:r>
          </w:p>
        </w:tc>
      </w:tr>
      <w:tr w14:paraId="14B8AFF3">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30CF5">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4DA0D">
            <w:pPr>
              <w:jc w:val="center"/>
              <w:rPr>
                <w:rFonts w:hint="eastAsia" w:asciiTheme="minorEastAsia" w:hAnsiTheme="minorEastAsia" w:eastAsiaTheme="minorEastAsia" w:cstheme="minorEastAsia"/>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C173F">
            <w:pPr>
              <w:jc w:val="center"/>
              <w:rPr>
                <w:rFonts w:hint="eastAsia" w:asciiTheme="minorEastAsia" w:hAnsiTheme="minorEastAsia" w:eastAsiaTheme="minorEastAsia" w:cstheme="minorEastAsia"/>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7F229D">
            <w:pPr>
              <w:jc w:val="center"/>
              <w:rPr>
                <w:rFonts w:hint="eastAsia" w:asciiTheme="minorEastAsia" w:hAnsiTheme="minorEastAsia" w:eastAsiaTheme="minorEastAsia" w:cstheme="minorEastAsia"/>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CE479">
            <w:pPr>
              <w:jc w:val="center"/>
              <w:rPr>
                <w:rFonts w:hint="eastAsia" w:asciiTheme="minorEastAsia" w:hAnsiTheme="minorEastAsia" w:eastAsiaTheme="minorEastAsia" w:cstheme="minorEastAsia"/>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3541A">
            <w:pPr>
              <w:jc w:val="center"/>
              <w:rPr>
                <w:rFonts w:hint="eastAsia" w:asciiTheme="minorEastAsia" w:hAnsiTheme="minorEastAsia" w:eastAsiaTheme="minorEastAsia" w:cstheme="minorEastAsia"/>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5DC25">
            <w:pPr>
              <w:jc w:val="center"/>
              <w:rPr>
                <w:rFonts w:hint="eastAsia" w:asciiTheme="minorEastAsia" w:hAnsiTheme="minorEastAsia" w:eastAsiaTheme="minorEastAsia" w:cstheme="minorEastAsia"/>
                <w:sz w:val="24"/>
                <w:szCs w:val="24"/>
                <w:highlight w:val="none"/>
              </w:rPr>
            </w:pPr>
          </w:p>
        </w:tc>
      </w:tr>
      <w:tr w14:paraId="5FCB4FD9">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1BECA">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B0E68D">
            <w:pPr>
              <w:jc w:val="center"/>
              <w:rPr>
                <w:rFonts w:hint="eastAsia" w:asciiTheme="minorEastAsia" w:hAnsiTheme="minorEastAsia" w:eastAsiaTheme="minorEastAsia" w:cstheme="minorEastAsia"/>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73CFB">
            <w:pPr>
              <w:jc w:val="center"/>
              <w:rPr>
                <w:rFonts w:hint="eastAsia" w:asciiTheme="minorEastAsia" w:hAnsiTheme="minorEastAsia" w:eastAsiaTheme="minorEastAsia" w:cstheme="minorEastAsia"/>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4E749C">
            <w:pPr>
              <w:jc w:val="center"/>
              <w:rPr>
                <w:rFonts w:hint="eastAsia" w:asciiTheme="minorEastAsia" w:hAnsiTheme="minorEastAsia" w:eastAsiaTheme="minorEastAsia" w:cstheme="minorEastAsia"/>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9B165">
            <w:pPr>
              <w:jc w:val="center"/>
              <w:rPr>
                <w:rFonts w:hint="eastAsia" w:asciiTheme="minorEastAsia" w:hAnsiTheme="minorEastAsia" w:eastAsiaTheme="minorEastAsia" w:cstheme="minorEastAsia"/>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EDB4B">
            <w:pPr>
              <w:jc w:val="center"/>
              <w:rPr>
                <w:rFonts w:hint="eastAsia" w:asciiTheme="minorEastAsia" w:hAnsiTheme="minorEastAsia" w:eastAsiaTheme="minorEastAsia" w:cstheme="minorEastAsia"/>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CAE5F">
            <w:pPr>
              <w:jc w:val="center"/>
              <w:rPr>
                <w:rFonts w:hint="eastAsia" w:asciiTheme="minorEastAsia" w:hAnsiTheme="minorEastAsia" w:eastAsiaTheme="minorEastAsia" w:cstheme="minorEastAsia"/>
                <w:sz w:val="24"/>
                <w:szCs w:val="24"/>
                <w:highlight w:val="none"/>
              </w:rPr>
            </w:pPr>
          </w:p>
        </w:tc>
      </w:tr>
      <w:tr w14:paraId="55E7BE0B">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26EA6">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88C5C8">
            <w:pPr>
              <w:jc w:val="center"/>
              <w:rPr>
                <w:rFonts w:hint="eastAsia" w:asciiTheme="minorEastAsia" w:hAnsiTheme="minorEastAsia" w:eastAsiaTheme="minorEastAsia" w:cstheme="minorEastAsia"/>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696E4">
            <w:pPr>
              <w:jc w:val="center"/>
              <w:rPr>
                <w:rFonts w:hint="eastAsia" w:asciiTheme="minorEastAsia" w:hAnsiTheme="minorEastAsia" w:eastAsiaTheme="minorEastAsia" w:cstheme="minorEastAsia"/>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C3BB8D">
            <w:pPr>
              <w:jc w:val="center"/>
              <w:rPr>
                <w:rFonts w:hint="eastAsia" w:asciiTheme="minorEastAsia" w:hAnsiTheme="minorEastAsia" w:eastAsiaTheme="minorEastAsia" w:cstheme="minorEastAsia"/>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7BCAA6">
            <w:pPr>
              <w:jc w:val="center"/>
              <w:rPr>
                <w:rFonts w:hint="eastAsia" w:asciiTheme="minorEastAsia" w:hAnsiTheme="minorEastAsia" w:eastAsiaTheme="minorEastAsia" w:cstheme="minorEastAsia"/>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A1BE1">
            <w:pPr>
              <w:jc w:val="center"/>
              <w:rPr>
                <w:rFonts w:hint="eastAsia" w:asciiTheme="minorEastAsia" w:hAnsiTheme="minorEastAsia" w:eastAsiaTheme="minorEastAsia" w:cstheme="minorEastAsia"/>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51483">
            <w:pPr>
              <w:jc w:val="center"/>
              <w:rPr>
                <w:rFonts w:hint="eastAsia" w:asciiTheme="minorEastAsia" w:hAnsiTheme="minorEastAsia" w:eastAsiaTheme="minorEastAsia" w:cstheme="minorEastAsia"/>
                <w:sz w:val="24"/>
                <w:szCs w:val="24"/>
                <w:highlight w:val="none"/>
              </w:rPr>
            </w:pPr>
          </w:p>
        </w:tc>
      </w:tr>
      <w:tr w14:paraId="0E521D9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ED816">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4C37D">
            <w:pPr>
              <w:jc w:val="center"/>
              <w:rPr>
                <w:rFonts w:hint="eastAsia" w:asciiTheme="minorEastAsia" w:hAnsiTheme="minorEastAsia" w:eastAsiaTheme="minorEastAsia" w:cstheme="minorEastAsia"/>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D385E3">
            <w:pPr>
              <w:jc w:val="center"/>
              <w:rPr>
                <w:rFonts w:hint="eastAsia" w:asciiTheme="minorEastAsia" w:hAnsiTheme="minorEastAsia" w:eastAsiaTheme="minorEastAsia" w:cstheme="minorEastAsia"/>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194C98">
            <w:pPr>
              <w:jc w:val="center"/>
              <w:rPr>
                <w:rFonts w:hint="eastAsia" w:asciiTheme="minorEastAsia" w:hAnsiTheme="minorEastAsia" w:eastAsiaTheme="minorEastAsia" w:cstheme="minorEastAsia"/>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DDA04">
            <w:pPr>
              <w:jc w:val="center"/>
              <w:rPr>
                <w:rFonts w:hint="eastAsia" w:asciiTheme="minorEastAsia" w:hAnsiTheme="minorEastAsia" w:eastAsiaTheme="minorEastAsia" w:cstheme="minorEastAsia"/>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5FD41">
            <w:pPr>
              <w:jc w:val="center"/>
              <w:rPr>
                <w:rFonts w:hint="eastAsia" w:asciiTheme="minorEastAsia" w:hAnsiTheme="minorEastAsia" w:eastAsiaTheme="minorEastAsia" w:cstheme="minorEastAsia"/>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B723B">
            <w:pPr>
              <w:jc w:val="center"/>
              <w:rPr>
                <w:rFonts w:hint="eastAsia" w:asciiTheme="minorEastAsia" w:hAnsiTheme="minorEastAsia" w:eastAsiaTheme="minorEastAsia" w:cstheme="minorEastAsia"/>
                <w:sz w:val="24"/>
                <w:szCs w:val="24"/>
                <w:highlight w:val="none"/>
              </w:rPr>
            </w:pPr>
          </w:p>
        </w:tc>
      </w:tr>
      <w:tr w14:paraId="55D4DC43">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FA0A6">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 合计总价（人民币大写 ）：                         （小写）　:              元</w:t>
            </w:r>
          </w:p>
        </w:tc>
      </w:tr>
      <w:tr w14:paraId="51050902">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2CD1B">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sz w:val="24"/>
                <w:szCs w:val="24"/>
                <w:highlight w:val="none"/>
              </w:rPr>
              <w:t>注：以上价款为包含货物费(含备品备件费)、包装费、运杂费(含搬运、装卸、保险费等)、工程费、材料费、全部税 费、安装调试费等完成本合同内容甲方应支付的全部相关费用。</w:t>
            </w:r>
          </w:p>
        </w:tc>
      </w:tr>
    </w:tbl>
    <w:p w14:paraId="79FB784C">
      <w:pPr>
        <w:spacing w:line="360" w:lineRule="auto"/>
        <w:ind w:firstLine="482" w:firstLineChars="200"/>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2.其他内容：</w:t>
      </w:r>
    </w:p>
    <w:p w14:paraId="0B2665ED">
      <w:pPr>
        <w:spacing w:line="360" w:lineRule="auto"/>
        <w:ind w:firstLine="482" w:firstLineChars="200"/>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3.技术要求、商务要求：</w:t>
      </w:r>
      <w:r>
        <w:rPr>
          <w:rFonts w:hint="eastAsia" w:asciiTheme="minorEastAsia" w:hAnsiTheme="minorEastAsia" w:eastAsiaTheme="minorEastAsia" w:cstheme="minorEastAsia"/>
          <w:sz w:val="24"/>
          <w:szCs w:val="24"/>
          <w:highlight w:val="none"/>
        </w:rPr>
        <w:t>乙方提供的货物必须符合国家安全环保标准、国家及行业产品质量认证标准。详细的配置、技术参数、指标、商务要求等，见合同附件。</w:t>
      </w:r>
    </w:p>
    <w:p w14:paraId="72AF8624">
      <w:pPr>
        <w:spacing w:line="360" w:lineRule="auto"/>
        <w:ind w:firstLine="482" w:firstLineChars="200"/>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二、交付与运输</w:t>
      </w:r>
    </w:p>
    <w:p w14:paraId="50D7C092">
      <w:pPr>
        <w:spacing w:line="360" w:lineRule="auto"/>
        <w:ind w:firstLine="48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 交货时间：</w:t>
      </w:r>
      <w:r>
        <w:rPr>
          <w:rFonts w:hint="eastAsia" w:asciiTheme="minorEastAsia" w:hAnsiTheme="minorEastAsia" w:eastAsiaTheme="minorEastAsia" w:cstheme="minorEastAsia"/>
          <w:sz w:val="24"/>
          <w:szCs w:val="24"/>
          <w:highlight w:val="none"/>
        </w:rPr>
        <w:t>乙方应于</w:t>
      </w:r>
      <w:r>
        <w:rPr>
          <w:rFonts w:hint="eastAsia" w:asciiTheme="minorEastAsia" w:hAnsiTheme="minorEastAsia" w:eastAsiaTheme="minorEastAsia" w:cstheme="minorEastAsia"/>
          <w:sz w:val="24"/>
          <w:szCs w:val="24"/>
          <w:highlight w:val="none"/>
          <w:lang w:val="en-US" w:eastAsia="zh-CN"/>
        </w:rPr>
        <w:t>合同签订后</w:t>
      </w:r>
      <w:r>
        <w:rPr>
          <w:rFonts w:hint="eastAsia" w:asciiTheme="minorEastAsia" w:hAnsiTheme="minorEastAsia" w:eastAsiaTheme="minorEastAsia" w:cstheme="minorEastAsia"/>
          <w:sz w:val="24"/>
          <w:szCs w:val="24"/>
          <w:highlight w:val="none"/>
        </w:rPr>
        <w:t>________</w:t>
      </w:r>
      <w:r>
        <w:rPr>
          <w:rFonts w:hint="eastAsia" w:asciiTheme="minorEastAsia" w:hAnsiTheme="minorEastAsia" w:eastAsiaTheme="minorEastAsia" w:cstheme="minorEastAsia"/>
          <w:sz w:val="24"/>
          <w:szCs w:val="24"/>
          <w:highlight w:val="none"/>
          <w:lang w:val="en-US" w:eastAsia="zh-CN"/>
        </w:rPr>
        <w:t>日历日</w:t>
      </w:r>
      <w:r>
        <w:rPr>
          <w:rFonts w:hint="eastAsia" w:asciiTheme="minorEastAsia" w:hAnsiTheme="minorEastAsia" w:eastAsiaTheme="minorEastAsia" w:cstheme="minorEastAsia"/>
          <w:sz w:val="24"/>
          <w:szCs w:val="24"/>
          <w:highlight w:val="none"/>
        </w:rPr>
        <w:t>将本合同项下全部设备运抵指定交付地点，完成安装、调试，达到交付使用条件，经甲方一次性验收合格或者初步验收合格。</w:t>
      </w:r>
    </w:p>
    <w:p w14:paraId="0912CD14">
      <w:pPr>
        <w:spacing w:line="360" w:lineRule="auto"/>
        <w:ind w:firstLine="48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2.交付地点：</w:t>
      </w:r>
      <w:r>
        <w:rPr>
          <w:rFonts w:hint="eastAsia" w:asciiTheme="minorEastAsia" w:hAnsiTheme="minorEastAsia" w:eastAsiaTheme="minorEastAsia" w:cstheme="minorEastAsia"/>
          <w:sz w:val="24"/>
          <w:szCs w:val="24"/>
          <w:highlight w:val="none"/>
        </w:rPr>
        <w:t>西安理工大学指定位置________________________________</w:t>
      </w:r>
    </w:p>
    <w:p w14:paraId="104A9A27">
      <w:pPr>
        <w:spacing w:line="360" w:lineRule="auto"/>
        <w:ind w:firstLine="482" w:firstLineChars="200"/>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bCs/>
          <w:sz w:val="24"/>
          <w:szCs w:val="24"/>
          <w:highlight w:val="none"/>
        </w:rPr>
        <w:t>3.运输与保险责任：</w:t>
      </w:r>
      <w:r>
        <w:rPr>
          <w:rFonts w:hint="eastAsia" w:asciiTheme="minorEastAsia" w:hAnsiTheme="minorEastAsia" w:eastAsiaTheme="minorEastAsia" w:cstheme="minorEastAsia"/>
          <w:color w:val="000000"/>
          <w:sz w:val="24"/>
          <w:szCs w:val="24"/>
          <w:highlight w:val="none"/>
        </w:rPr>
        <w:t>乙方负责本合同项下设备的包装、全程运输、装卸、保险事宜并承担相应费用。定制设备毁损、灭失的风险，自设备在交付地点完成安装调试并经甲方最终验收合格后转移至甲方；非定制设备毁损、灭失的风险，自设备在交付地点经甲方授权代表签收后转移至甲方。</w:t>
      </w:r>
    </w:p>
    <w:p w14:paraId="4CB624D2">
      <w:pPr>
        <w:spacing w:line="360" w:lineRule="auto"/>
        <w:ind w:firstLine="480" w:firstLineChars="200"/>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货。</w:t>
      </w:r>
    </w:p>
    <w:p w14:paraId="53F8FC06">
      <w:pPr>
        <w:spacing w:line="360" w:lineRule="auto"/>
        <w:ind w:firstLine="48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三、支付方式</w:t>
      </w:r>
      <w:r>
        <w:rPr>
          <w:rFonts w:hint="eastAsia" w:asciiTheme="minorEastAsia" w:hAnsiTheme="minorEastAsia" w:eastAsiaTheme="minorEastAsia" w:cstheme="minorEastAsia"/>
          <w:sz w:val="24"/>
          <w:szCs w:val="24"/>
          <w:highlight w:val="none"/>
        </w:rPr>
        <w:t>：按以下第______种方式进行支付。</w:t>
      </w:r>
    </w:p>
    <w:p w14:paraId="5231A4C5">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乙方按照合同规定期限供货、调试完成，经甲方最终验收合格（一次性终验或者试运行期满后终验）并签署《验收合格报告》后7个工作日内，向乙方支付全部合同款项。乙方应在甲方付款前，向甲方开具全额合法有效的增值税专用发票。</w:t>
      </w:r>
    </w:p>
    <w:p w14:paraId="3BF21CEC">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合同签订后5个工作日内，甲方向乙方预付合同总价的40%；设备运抵甲方指定地点并经甲方一次性验收合格（即一次性终验）后，乙方开具全额合法有效的增值税专用发票，甲方在7个工作日内向乙方支付合同总价的60%。</w:t>
      </w:r>
    </w:p>
    <w:p w14:paraId="02F32613">
      <w:pPr>
        <w:spacing w:line="360" w:lineRule="auto"/>
        <w:ind w:firstLine="480" w:firstLineChars="200"/>
        <w:rPr>
          <w:rFonts w:hint="eastAsia" w:asciiTheme="minorEastAsia" w:hAnsiTheme="minorEastAsia" w:eastAsiaTheme="minorEastAsia" w:cstheme="minorEastAsia"/>
          <w:color w:val="0000FF"/>
          <w:sz w:val="24"/>
          <w:szCs w:val="24"/>
          <w:highlight w:val="none"/>
        </w:rPr>
      </w:pPr>
      <w:r>
        <w:rPr>
          <w:rFonts w:hint="eastAsia" w:asciiTheme="minorEastAsia" w:hAnsiTheme="minorEastAsia" w:eastAsiaTheme="minorEastAsia" w:cstheme="minorEastAsia"/>
          <w:sz w:val="24"/>
          <w:szCs w:val="24"/>
          <w:highlight w:val="none"/>
        </w:rPr>
        <w:t>3.合同签订后5个工作日内，甲方向乙方预付合同总价的40%；设备送达甲方指定地点并经甲方初步验收合格后7个工作日内，甲方向乙方支付合同总价的30%；设备试运行期满，经甲方最终验收合格并签署《验收合格报告》后，乙方开具全额合法有效的增值税专用发票，甲方在7个工作日内向乙方支付合同总价的30%。</w:t>
      </w:r>
    </w:p>
    <w:p w14:paraId="46A33338">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或者试运行期满，经甲方最终验收合格并签署《验收合格报告》后，乙方开具增值税专用发票，甲方在5个工作日内向乙方退还不可撤销、见索即付的银行保函正本。</w:t>
      </w:r>
    </w:p>
    <w:p w14:paraId="7DCFC0FC">
      <w:pPr>
        <w:spacing w:line="360" w:lineRule="auto"/>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4．其他付款方式：_____________________________________________。</w:t>
      </w:r>
    </w:p>
    <w:p w14:paraId="7FFC5438">
      <w:pPr>
        <w:spacing w:line="360" w:lineRule="auto"/>
        <w:ind w:firstLine="482" w:firstLineChars="20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四、履约保证金：</w:t>
      </w:r>
      <w:r>
        <w:rPr>
          <w:rFonts w:hint="eastAsia" w:asciiTheme="minorEastAsia" w:hAnsiTheme="minorEastAsia" w:eastAsiaTheme="minorEastAsia" w:cstheme="minorEastAsia"/>
          <w:sz w:val="24"/>
          <w:szCs w:val="24"/>
          <w:highlight w:val="none"/>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62A8E9F5">
      <w:pPr>
        <w:spacing w:line="360" w:lineRule="auto"/>
        <w:ind w:firstLine="482" w:firstLineChars="20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五、安装与调试</w:t>
      </w:r>
    </w:p>
    <w:p w14:paraId="4AC6941D">
      <w:pPr>
        <w:spacing w:line="360" w:lineRule="auto"/>
        <w:ind w:firstLine="48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1.安装调试服务：</w:t>
      </w:r>
      <w:r>
        <w:rPr>
          <w:rFonts w:hint="eastAsia" w:asciiTheme="minorEastAsia" w:hAnsiTheme="minorEastAsia" w:eastAsiaTheme="minorEastAsia" w:cstheme="minorEastAsia"/>
          <w:sz w:val="24"/>
          <w:szCs w:val="24"/>
          <w:highlight w:val="none"/>
        </w:rPr>
        <w:t>如设备需要安装调试，乙方应在设备运抵至甲方指定地点后______日内，派遣合格技术人员免费完成安装、调试及基础校准等工作，确保设备达到合同约定的技术状态并通知甲方进行一次性终验或者初步验收。若设备无需安装调试，乙方应在本合同签订后______日内向甲方出具书面说明，并在到货后</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日内提交书面验收申请及完整验收资料内，配合甲方完成相应验收。</w:t>
      </w:r>
    </w:p>
    <w:p w14:paraId="21A10F0C">
      <w:pPr>
        <w:spacing w:line="360" w:lineRule="auto"/>
        <w:ind w:firstLine="48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2.安装环境配合：</w:t>
      </w:r>
      <w:r>
        <w:rPr>
          <w:rFonts w:hint="eastAsia" w:asciiTheme="minorEastAsia" w:hAnsiTheme="minorEastAsia" w:eastAsiaTheme="minorEastAsia" w:cstheme="minorEastAsia"/>
          <w:sz w:val="24"/>
          <w:szCs w:val="24"/>
          <w:highlight w:val="none"/>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097BFA4F">
      <w:pPr>
        <w:spacing w:line="360" w:lineRule="auto"/>
        <w:ind w:firstLine="48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六、验收</w:t>
      </w:r>
    </w:p>
    <w:p w14:paraId="3245383D">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1..验收标准：以本合同及附件约定的采购参数技术要求，招标文件、投标文件、国家行业相关质量标准为依据。</w:t>
      </w:r>
    </w:p>
    <w:p w14:paraId="16D5051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验收流程：</w:t>
      </w:r>
    </w:p>
    <w:p w14:paraId="7F4BB9EF">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初步查验：设备运抵交付地点后，甲方对设备的外包装、数量、型号、规格等进行初步查验。</w:t>
      </w:r>
    </w:p>
    <w:p w14:paraId="0E31474B">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正式验收：本合同采取以下第_____种方式进行正式验收。</w:t>
      </w:r>
    </w:p>
    <w:p w14:paraId="6615862B">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（1）一次性验收</w:t>
      </w:r>
    </w:p>
    <w:p w14:paraId="743E2571">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设备无需安装调试或者虽然需要安装调试但无需设置试运行期限的，可采取一次性验收方式，该一次性验收即为最终验收。（甲方收到乙方提交的书面验收申请及完整验收资料之日起_____个工作日内完成）</w:t>
      </w:r>
    </w:p>
    <w:p w14:paraId="26FCCAB2">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（2）初步验收+最终验收</w:t>
      </w:r>
    </w:p>
    <w:p w14:paraId="3FDB6840">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设备安装调试完毕后需设置试运行期限的，则在安装调试完毕并自检合格后，乙方通知甲方进行初步验收，双方对设备基本运行情况进行确认。初步验收应在甲方收到乙方书面验收申请及完整验收资料验收之日起_____个工作日内完成。</w:t>
      </w:r>
    </w:p>
    <w:p w14:paraId="0C926076">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初步验收合格后，进入为期_____日的试运行期。试运行期满后，设备性能稳定且符合合同全部要求的，由甲方组织最终验收。大型或复杂项目，甲方有权邀请国家认可的第三方机构参加验收。最终验收应在试运行期满结束后_____个工作日内完成。</w:t>
      </w:r>
    </w:p>
    <w:p w14:paraId="27D3A8A2">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最终验收合格以甲乙双方共同签署的《验收合格报告》为准。</w:t>
      </w:r>
    </w:p>
    <w:p w14:paraId="7D1493CE">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3．验收不合格的处理</w:t>
      </w:r>
    </w:p>
    <w:p w14:paraId="409B5104">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初步查验或者正式验收（含一次性终验、初验、试运行期满后终验）不合格，乙方应在收到甲方书面通知后______日内进行整改（含更换、重做），并申请甲方复验。若乙方未在规定期限内完成整改或拒绝整改，或按期完成整改但复验仍不合格的，则视为乙方根本违约，甲方有权解除合同、要求退款、退货并追究乙方违约责任。因验收不合格而产生的整改、退货等一切费用及损失由乙方承担，因整改造成的延误由乙方按照本合同第九条第2款约定承担逾期履行责任。乙方更换合格设备的，更换后的设备质保期自新设备最终验收合格之日起重新计算。</w:t>
      </w:r>
    </w:p>
    <w:p w14:paraId="1AE59669">
      <w:pPr>
        <w:spacing w:line="360" w:lineRule="auto"/>
        <w:ind w:firstLine="482" w:firstLineChars="20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七、质量保证及售后服务</w:t>
      </w:r>
    </w:p>
    <w:p w14:paraId="496F4FAF">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乙方在此陈述并保证，其向甲方提供的所有信息、资料、文件、陈述均为真实、准确、不存在任何虚假记载、误导性陈述或重大遗漏。乙方进一步保证，其所供设备为全新未使用过的、来源合法，符合国家和有关行业安全环保标准、质量标准，且完全符合本合同及附件、招标文件、投标文件约定的技术参数、规格型号等各项要求。</w:t>
      </w:r>
    </w:p>
    <w:p w14:paraId="5CA875D0">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2.合同标的物自最终验收合格之日起质保期为______年。在质保期内出现的质量问题，乙方负责免费维修、维护或更换，确保设备恢复正常运行。更换部件的质保期自更换完成之日起重新计算。</w:t>
      </w:r>
    </w:p>
    <w:p w14:paraId="05B1D114">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乙方承诺提供______年（或不低于______年）的免费软件升级、技术咨询等技术支持服务。质保期外，乙方应以优惠价格□/免费□提供终身维修服务与优惠价□/成本价□的备品备件供应。</w:t>
      </w:r>
    </w:p>
    <w:p w14:paraId="79FAB8C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须在接到甲方故障通知后______小时内响应，______小时内派技术人员到达现场解决问题。如遇紧急故障，应提供不间断支持直至故障排除。若乙方未按时响应或维修后仍无法正常使用，甲方有权委托第三方维修，产生的费用从履约保证金或相关应付款项中抵扣，不足部分由乙方承担。</w:t>
      </w:r>
    </w:p>
    <w:p w14:paraId="43A6C8DD">
      <w:pPr>
        <w:spacing w:line="360" w:lineRule="auto"/>
        <w:ind w:firstLine="48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八、产权与保密</w:t>
      </w:r>
    </w:p>
    <w:p w14:paraId="31DA21D4">
      <w:pPr>
        <w:spacing w:line="360" w:lineRule="auto"/>
        <w:ind w:firstLine="48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1.设备权利声明</w:t>
      </w:r>
      <w:r>
        <w:rPr>
          <w:rFonts w:hint="eastAsia" w:asciiTheme="minorEastAsia" w:hAnsiTheme="minorEastAsia" w:eastAsiaTheme="minorEastAsia" w:cstheme="minorEastAsia"/>
          <w:sz w:val="24"/>
          <w:szCs w:val="24"/>
          <w:highlight w:val="none"/>
        </w:rPr>
        <w:t>：乙方保证所供设备（包括硬件及随附软件）所含的全部知识产权归乙方或其合法许可方所有，所供设备为其合法所有或有权处分，不存在任何权利瑕疵。甲方在设备交付并经甲方验收合格后，取得该所供硬件设备的完整所有权，并获得该设备及所附软件的非独占、可在甲方及其内部关联主体间转让或共享的使用权（含甲方委托第三方在该项目后续开发的使用权）。</w:t>
      </w:r>
    </w:p>
    <w:p w14:paraId="521E6D5A">
      <w:pPr>
        <w:spacing w:line="360" w:lineRule="auto"/>
        <w:ind w:firstLine="48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2.保密义务</w:t>
      </w:r>
      <w:r>
        <w:rPr>
          <w:rFonts w:hint="eastAsia" w:asciiTheme="minorEastAsia" w:hAnsiTheme="minorEastAsia" w:eastAsiaTheme="minorEastAsia" w:cstheme="minorEastAsia"/>
          <w:sz w:val="24"/>
          <w:szCs w:val="24"/>
          <w:highlight w:val="none"/>
        </w:rPr>
        <w:t>：双方应对因履行本合同而获知的对方的技术资料、技术参数、采购价格、商业计划、内部流程等未公开信息承担保密义务。</w:t>
      </w:r>
    </w:p>
    <w:p w14:paraId="08CAD39C">
      <w:pPr>
        <w:spacing w:line="360" w:lineRule="auto"/>
        <w:ind w:firstLine="48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九、违约责任</w:t>
      </w:r>
      <w:r>
        <w:rPr>
          <w:rFonts w:hint="eastAsia" w:asciiTheme="minorEastAsia" w:hAnsiTheme="minorEastAsia" w:eastAsiaTheme="minorEastAsia" w:cstheme="minorEastAsia"/>
          <w:sz w:val="24"/>
          <w:szCs w:val="24"/>
          <w:highlight w:val="none"/>
        </w:rPr>
        <w:t>：</w:t>
      </w:r>
    </w:p>
    <w:p w14:paraId="761568A7">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5464C588">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2.乙方逾期履行义务的，包括但不限于未按本合同约定时间完成交货、完成安装调试、配合完成验收的，每逾期一日，应向甲方支付合同总金额</w:t>
      </w:r>
      <w:r>
        <w:rPr>
          <w:rFonts w:hint="eastAsia" w:asciiTheme="minorEastAsia" w:hAnsiTheme="minorEastAsia" w:eastAsiaTheme="minorEastAsia" w:cstheme="minorEastAsia"/>
          <w:sz w:val="24"/>
          <w:szCs w:val="24"/>
          <w:highlight w:val="none"/>
        </w:rPr>
        <w:t>5‰</w:t>
      </w:r>
      <w:r>
        <w:rPr>
          <w:rFonts w:hint="eastAsia" w:asciiTheme="minorEastAsia" w:hAnsiTheme="minorEastAsia" w:eastAsiaTheme="minorEastAsia" w:cstheme="minorEastAsia"/>
          <w:sz w:val="24"/>
          <w:szCs w:val="24"/>
          <w:highlight w:val="none"/>
        </w:rPr>
        <w:t>的违约金；逾期超过15日或者根据本合同第六条第3款约定视为乙方根本违约的，甲方有权单方解除合同。</w:t>
      </w:r>
    </w:p>
    <w:p w14:paraId="0A4D27EE">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乙方原因导致设备侵犯第三方知识产权或存在其他权利纠纷，致使甲方（含甲方内部关联主体及甲方委托的第三方）无法正常使用或卷入诉讼的，乙方应负责解决并承担全部费用。同时，甲方有权选择解除合同。</w:t>
      </w:r>
    </w:p>
    <w:p w14:paraId="5D721D3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 乙方未经甲方书面同意擅自将定制设备项目分包或转让的，甲方有权立即解除合同。</w:t>
      </w:r>
    </w:p>
    <w:p w14:paraId="04F07B8D">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乙方存在其他根本违约情形，包括但不限于技术参数虚假、提供的资质文件造假、隐瞒设备已知的缺陷、瑕疵、潜在风险等重大问题足以影响甲方缔约决策或合同目的实现的、设备存在严重质量问题无法修复、拒绝交付设备、交付设备义务以外的其他主要义务未履行经甲方书面催告合理期限仍未履行等，甲方有权根据情况选择要求乙方退货、更换、减少价款或解除合同。</w:t>
      </w:r>
    </w:p>
    <w:p w14:paraId="07236A57">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 因乙方违约甲方解除合同的，甲方有权要求退货，乙方除应返还甲方已支付款项外，还应支付合同总价款</w:t>
      </w:r>
      <w:r>
        <w:rPr>
          <w:rFonts w:hint="eastAsia" w:asciiTheme="minorEastAsia" w:hAnsiTheme="minorEastAsia" w:eastAsiaTheme="minorEastAsia" w:cstheme="minorEastAsia"/>
          <w:sz w:val="24"/>
          <w:szCs w:val="24"/>
          <w:highlight w:val="none"/>
        </w:rPr>
        <w:t>30%</w:t>
      </w:r>
      <w:r>
        <w:rPr>
          <w:rFonts w:hint="eastAsia" w:asciiTheme="minorEastAsia" w:hAnsiTheme="minorEastAsia" w:eastAsiaTheme="minorEastAsia" w:cstheme="minorEastAsia"/>
          <w:sz w:val="24"/>
          <w:szCs w:val="24"/>
          <w:highlight w:val="none"/>
        </w:rPr>
        <w:t>的违约金，如该违约金不足以弥补甲方损失的，乙方还应予以赔偿。</w:t>
      </w:r>
    </w:p>
    <w:p w14:paraId="1D96ECC6">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rPr>
        <w:t>.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w:t>
      </w:r>
      <w:r>
        <w:rPr>
          <w:rFonts w:hint="eastAsia" w:asciiTheme="minorEastAsia" w:hAnsiTheme="minorEastAsia" w:eastAsiaTheme="minorEastAsia" w:cstheme="minorEastAsia"/>
          <w:sz w:val="24"/>
          <w:szCs w:val="24"/>
          <w:highlight w:val="none"/>
        </w:rPr>
        <w:t xml:space="preserve"> </w:t>
      </w:r>
    </w:p>
    <w:p w14:paraId="0728405C">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rPr>
        <w:t>. 任何一方违反本合同约定，给对方造成损失的，应赔偿对方全部直接和间接损失，包括但不限于诉讼费、律师费、鉴定费、保全费、差旅费等。</w:t>
      </w:r>
    </w:p>
    <w:p w14:paraId="57D7F000">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9</w:t>
      </w:r>
      <w:r>
        <w:rPr>
          <w:rFonts w:hint="eastAsia" w:asciiTheme="minorEastAsia" w:hAnsiTheme="minorEastAsia" w:eastAsiaTheme="minorEastAsia" w:cstheme="minorEastAsia"/>
          <w:sz w:val="24"/>
          <w:szCs w:val="24"/>
          <w:highlight w:val="none"/>
        </w:rPr>
        <w:t>. 本合同项下约定的所有甲方应付款项，若因乙方违约（包括但不限于质量、交付、安装调试、验收等问题）导致甲方付款条件未成就或付款时间延后的，不视为甲方违约，乙方仍应承担相应的违约责任。</w:t>
      </w:r>
    </w:p>
    <w:p w14:paraId="348FDB17">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10</w:t>
      </w:r>
      <w:r>
        <w:rPr>
          <w:rFonts w:hint="eastAsia" w:asciiTheme="minorEastAsia" w:hAnsiTheme="minorEastAsia" w:eastAsiaTheme="minorEastAsia" w:cstheme="minorEastAsia"/>
          <w:sz w:val="24"/>
          <w:szCs w:val="24"/>
          <w:highlight w:val="none"/>
        </w:rPr>
        <w:t>.对于招标文件、投标文件规定的其他违约情形及相应违约责任，双方予以认可并遵守执行。</w:t>
      </w:r>
    </w:p>
    <w:p w14:paraId="1930BB55">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其他：</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6CFA3A49">
      <w:pPr>
        <w:spacing w:line="360" w:lineRule="auto"/>
        <w:ind w:firstLine="482" w:firstLineChars="200"/>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十、争议解决：</w:t>
      </w:r>
      <w:r>
        <w:rPr>
          <w:rFonts w:hint="eastAsia" w:asciiTheme="minorEastAsia" w:hAnsiTheme="minorEastAsia" w:eastAsiaTheme="minorEastAsia" w:cstheme="minorEastAsia"/>
          <w:sz w:val="24"/>
          <w:szCs w:val="24"/>
          <w:highlight w:val="none"/>
        </w:rPr>
        <w:t>合同履行过程中出现争议时，由双方友好协商解决。协商不成，向甲方所在地有管辖权的人民法院提起诉讼。</w:t>
      </w:r>
    </w:p>
    <w:p w14:paraId="21DDD9E2">
      <w:pPr>
        <w:spacing w:line="360" w:lineRule="auto"/>
        <w:ind w:firstLine="482" w:firstLineChars="200"/>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十、其他约定事项</w:t>
      </w:r>
      <w:r>
        <w:rPr>
          <w:rFonts w:hint="eastAsia" w:asciiTheme="minorEastAsia" w:hAnsiTheme="minorEastAsia" w:eastAsiaTheme="minorEastAsia" w:cstheme="minorEastAsia"/>
          <w:color w:val="000000"/>
          <w:sz w:val="24"/>
          <w:szCs w:val="24"/>
          <w:highlight w:val="none"/>
        </w:rPr>
        <w:t>：</w:t>
      </w:r>
    </w:p>
    <w:p w14:paraId="2D407818">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合同经双方签字盖章后生效。合同一式四份，甲方执三份，乙方执一份；</w:t>
      </w:r>
    </w:p>
    <w:p w14:paraId="5DE5284F">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2.招投标文件及乙方澄清文件、承诺等均为本合同的附件，与本合同具有同等法律效力（本条款适用于招投标项目）。</w:t>
      </w:r>
    </w:p>
    <w:p w14:paraId="39610BB2">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乙方应根据法律法规的要求建立并维系自身良好的健康、安全、环保体系。乙方因履行合同造成乙方和或第三方的人员损失和（或)财产损失以及环境污染损失由乙方承担全部责任。</w:t>
      </w:r>
    </w:p>
    <w:p w14:paraId="5C60270A">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 本合同履行及后续审计中，乙方须无条件配合甲方及审计、财政等监督管理部门的工作，提供所需全部资料。</w:t>
      </w:r>
    </w:p>
    <w:p w14:paraId="0F740EB3">
      <w:pPr>
        <w:spacing w:line="360" w:lineRule="auto"/>
        <w:ind w:firstLine="480" w:firstLineChars="200"/>
        <w:rPr>
          <w:rFonts w:hint="eastAsia" w:asciiTheme="minorEastAsia" w:hAnsiTheme="minorEastAsia" w:eastAsiaTheme="minorEastAsia" w:cstheme="minorEastAsia"/>
          <w:color w:val="000000"/>
          <w:sz w:val="24"/>
          <w:szCs w:val="24"/>
          <w:highlight w:val="none"/>
        </w:rPr>
      </w:pPr>
    </w:p>
    <w:tbl>
      <w:tblPr>
        <w:tblStyle w:val="2"/>
        <w:tblW w:w="8639" w:type="dxa"/>
        <w:jc w:val="center"/>
        <w:tblLayout w:type="autofit"/>
        <w:tblCellMar>
          <w:top w:w="0" w:type="dxa"/>
          <w:left w:w="10" w:type="dxa"/>
          <w:bottom w:w="0" w:type="dxa"/>
          <w:right w:w="10" w:type="dxa"/>
        </w:tblCellMar>
      </w:tblPr>
      <w:tblGrid>
        <w:gridCol w:w="4306"/>
        <w:gridCol w:w="4333"/>
      </w:tblGrid>
      <w:tr w14:paraId="6B1DE1B2">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DB7CC1">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A12C13">
            <w:pPr>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 xml:space="preserve">乙方（盖章）： </w:t>
            </w:r>
          </w:p>
        </w:tc>
      </w:tr>
      <w:tr w14:paraId="58ED509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61DD2">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73F2C">
            <w:pPr>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信用代码：</w:t>
            </w:r>
          </w:p>
        </w:tc>
      </w:tr>
      <w:tr w14:paraId="50FC100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EB870F">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C234AC">
            <w:pPr>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地址：</w:t>
            </w:r>
          </w:p>
        </w:tc>
      </w:tr>
      <w:tr w14:paraId="03884BAB">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1C44F">
            <w:pP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开户银行：中国银行西安金花南路支行</w:t>
            </w:r>
          </w:p>
          <w:p w14:paraId="0B40BD30">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银行账号：</w:t>
            </w:r>
            <w:r>
              <w:rPr>
                <w:rFonts w:hint="eastAsia" w:asciiTheme="minorEastAsia" w:hAnsiTheme="minorEastAsia" w:eastAsiaTheme="minorEastAsia" w:cstheme="minorEastAsia"/>
                <w:sz w:val="24"/>
                <w:szCs w:val="24"/>
                <w:highlight w:val="none"/>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62DD6">
            <w:pP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开户银行：</w:t>
            </w:r>
          </w:p>
          <w:p w14:paraId="4FE7AFE5">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银行账号：</w:t>
            </w:r>
          </w:p>
        </w:tc>
      </w:tr>
      <w:tr w14:paraId="707293C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93C76">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1E43A">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法人/委托代理人签字：</w:t>
            </w:r>
          </w:p>
        </w:tc>
      </w:tr>
      <w:tr w14:paraId="6B30D4CC">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02ED4">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AD8A9">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电话：</w:t>
            </w:r>
          </w:p>
        </w:tc>
      </w:tr>
    </w:tbl>
    <w:p w14:paraId="2B8CE922">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F0962"/>
    <w:rsid w:val="7AAF0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2026-07-01T05:15:00Z</dcterms:created>
  <dc:creator>开瑞</dc:creator>
  <cp:lastModifiedBy>开瑞</cp:lastModifiedBy>
  <dcterms:modified xsi:type="dcterms:W3CDTF">2026-07-01T05:15:59Z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6656AD6A9E8140BE987226CBDD7D5514_11</vt:lpwstr>
  </property>
  <property fmtid="{D5CDD505-2E9C-101B-9397-08002B2CF9AE}" pid="4" name="KSOTemplateDocerSaveRecord">
    <vt:lpwstr>eyJoZGlkIjoiZmNkYTQxN2FhMzNjOTUyZjc2ODI5ZDk4ZWQwMzRlODgiLCJ1c2VySWQiOiI2Nzc1OTA0NzIifQ==</vt:lpwstr>
  </property>
</Properties>
</file>