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版本号：SXZCKJ-2026-CS01020260428001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欧亚经济论坛及西安会展环境招商招展推介活动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SXZCKJ-2026-CS010</w:t>
      </w:r>
      <w:r>
        <w:br/>
      </w:r>
      <w:r>
        <w:br/>
      </w:r>
      <w:r>
        <w:br/>
      </w:r>
    </w:p>
    <w:p>
      <w:pPr>
        <w:pStyle w:val="null3"/>
        <w:jc w:val="center"/>
        <w:outlineLvl w:val="2"/>
      </w:pPr>
      <w:r>
        <w:rPr>
          <w:rFonts w:ascii="仿宋_GB2312" w:hAnsi="仿宋_GB2312" w:cs="仿宋_GB2312" w:eastAsia="仿宋_GB2312"/>
          <w:sz w:val="28"/>
          <w:b/>
        </w:rPr>
        <w:t>西安市博览事务中心</w:t>
      </w:r>
    </w:p>
    <w:p>
      <w:pPr>
        <w:pStyle w:val="null3"/>
        <w:jc w:val="center"/>
        <w:outlineLvl w:val="2"/>
      </w:pPr>
      <w:r>
        <w:rPr>
          <w:rFonts w:ascii="仿宋_GB2312" w:hAnsi="仿宋_GB2312" w:cs="仿宋_GB2312" w:eastAsia="仿宋_GB2312"/>
          <w:sz w:val="28"/>
          <w:b/>
        </w:rPr>
        <w:t>陕西中创科建招标有限公司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陕西中创科建招标有限公司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欧亚经济论坛及西安会展环境招商招展推介活动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SXZCKJ-2026-CS010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欧亚经济论坛及西安会展环境招商招展推介活动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组织2场欧亚经济论坛配套博览会及西安会展环境招商招展推介活动，推介会日期:第一场2026年6月、第二场2026年11月，展会选择:在全国性知名展会或全国性展会中挑选2个有代表性的展会举办推介活动(6月11日-16日第10届中国一南亚博览会、11月10日-15日第16届中国国际航空航天博览会)，具体以实际举办推介会为准。嘉宾邀请:根据展会形式及所涉及行业，进行定向的嘉宾邀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采购包1（欧亚经济论坛及西安会展环境招商招展推介活动）：属于专门面向中小企业采购。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1、主体资格要求：具有独立承担民事责任能力的法人或其他组织，提供统一社会信用代码的营业执照（或事业单位提供事业单位法人证书，自然人提供本人身份证）；</w:t>
      </w:r>
    </w:p>
    <w:p>
      <w:pPr>
        <w:pStyle w:val="null3"/>
      </w:pPr>
      <w:r>
        <w:rPr>
          <w:rFonts w:ascii="仿宋_GB2312" w:hAnsi="仿宋_GB2312" w:cs="仿宋_GB2312" w:eastAsia="仿宋_GB2312"/>
        </w:rPr>
        <w:t>2、法人证明或授权：法定代表人直接磋商须提交法定代表人身份证明书，法定代表人授权代表参加磋商的，须出具授权书；</w:t>
      </w:r>
    </w:p>
    <w:p>
      <w:pPr>
        <w:pStyle w:val="null3"/>
      </w:pPr>
      <w:r>
        <w:rPr>
          <w:rFonts w:ascii="仿宋_GB2312" w:hAnsi="仿宋_GB2312" w:cs="仿宋_GB2312" w:eastAsia="仿宋_GB2312"/>
        </w:rPr>
        <w:t>3、财务状况：提供2024年或2025年经审计的财务审计报告(成立时间至提交磋商响应文件截止时间不足年的可提供成立后任意时段的资产负债表)或其基本存款账户开户银行出具的资信证明；</w:t>
      </w:r>
    </w:p>
    <w:p>
      <w:pPr>
        <w:pStyle w:val="null3"/>
      </w:pPr>
      <w:r>
        <w:rPr>
          <w:rFonts w:ascii="仿宋_GB2312" w:hAnsi="仿宋_GB2312" w:cs="仿宋_GB2312" w:eastAsia="仿宋_GB2312"/>
        </w:rPr>
        <w:t>4、税收缴纳证明：提供2025年至今已缴纳的任意1个月的纳税证明或完税证明（纳税证明或完税证明上应有代收机构或税务机关的公章或业务章），依法免税的单位应提供相关证明材料；</w:t>
      </w:r>
    </w:p>
    <w:p>
      <w:pPr>
        <w:pStyle w:val="null3"/>
      </w:pPr>
      <w:r>
        <w:rPr>
          <w:rFonts w:ascii="仿宋_GB2312" w:hAnsi="仿宋_GB2312" w:cs="仿宋_GB2312" w:eastAsia="仿宋_GB2312"/>
        </w:rPr>
        <w:t>5、社会保障资金缴纳证明：提供2025年至今已缴存的任意1个月的社会保障资金缴存单据或社保机构开具的社会保险参保缴费情况证明，依法不需要缴纳社会保障资金的应提供相关证明材料；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7、承诺函：具有履行合同所必需的设备和专业技术能力的承诺函；</w:t>
      </w:r>
    </w:p>
    <w:p>
      <w:pPr>
        <w:pStyle w:val="null3"/>
      </w:pPr>
      <w:r>
        <w:rPr>
          <w:rFonts w:ascii="仿宋_GB2312" w:hAnsi="仿宋_GB2312" w:cs="仿宋_GB2312" w:eastAsia="仿宋_GB2312"/>
        </w:rPr>
        <w:t>8、网站截图：提供未被“信用中国”网站列入失信被执行人和重大税收违法失信主体，未被中国政府采购网列入政府采购严重违法失信行为记录名单书面声明及查询公示结果截图；</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10、联合体磋商：本项目不接受联合体磋商（提供书面声明材料）</w:t>
      </w:r>
    </w:p>
    <w:p>
      <w:pPr>
        <w:pStyle w:val="null3"/>
      </w:pPr>
      <w:r>
        <w:rPr>
          <w:rFonts w:ascii="仿宋_GB2312" w:hAnsi="仿宋_GB2312" w:cs="仿宋_GB2312" w:eastAsia="仿宋_GB2312"/>
        </w:rPr>
        <w:t>11、专门面向中小企业采购：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陕西中创科建招标有限公司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陕西省西安市雁塔区陕西省西安市雁塔区小寨西路119号乐创街区B座5层501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029-85220131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代理服务费收费标准：1.采购代理报酬的计算方法：采购代理服务费参照“计价格［2002]1980号文件”计费标准，为含税价格。 2.采购代理费的金额或收取比例：采购代理报酬按成交金额为基数标准计算。 3.采购代理服务费的支付方式及时间：由成交供应商在领取成交通知书前向代理机构一次性付清。成交供应商延迟付款的，由成交供应商承担责任，与采购人无关，代理机构应向成交供应商主张权利。 4.支付方式：银行转账 开户名称：陕西中创科建招标有限公司 账    号:129918851810002 开 户 行：招商银行股份有限公司西安北大街支行。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陕西中创科建招标有限公司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西安市博览事务中心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陕西中创科建招标有限公司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陕西中创科建招标有限公司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陕西中创科建招标有限公司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陕西中创科建招标有限公司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陕西中创科建招标有限公司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联系人：张智</w:t>
      </w:r>
    </w:p>
    <w:p>
      <w:pPr>
        <w:pStyle w:val="null3"/>
      </w:pPr>
      <w:r>
        <w:rPr>
          <w:rFonts w:ascii="仿宋_GB2312" w:hAnsi="仿宋_GB2312" w:cs="仿宋_GB2312" w:eastAsia="仿宋_GB2312"/>
        </w:rPr>
        <w:t>联系电话：029-85220131</w:t>
      </w:r>
    </w:p>
    <w:p>
      <w:pPr>
        <w:pStyle w:val="null3"/>
      </w:pPr>
      <w:r>
        <w:rPr>
          <w:rFonts w:ascii="仿宋_GB2312" w:hAnsi="仿宋_GB2312" w:cs="仿宋_GB2312" w:eastAsia="仿宋_GB2312"/>
        </w:rPr>
        <w:t>地址：陕西省西安市雁塔区陕西省西安市雁塔区小寨西路119号乐创街区B座5层501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2场欧亚经济论坛配套博览会及西安会展环境招商招展推介活动，推介会日期:第一场2026年6月、第二场2026年11月，展会选择:在全国性知名展会或全国性展会中挑选2个有代表性的展会举办推介活动(6月11日-16日第10届中国一南亚博览会、11月10日-15日第16届中国国际航空航天博览会)，具体以实际举办推介会为准。嘉宾邀请:根据展会形式及所涉及行业，进行定向的嘉宾邀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欧亚经济论坛及西安会展环境招商招展推介活动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标的名称：欧亚经济论坛及西安会展环境招商招展推介活动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一、项目概况</w:t>
            </w:r>
          </w:p>
          <w:p>
            <w:pPr>
              <w:pStyle w:val="null3"/>
              <w:ind w:firstLine="640"/>
              <w:jc w:val="both"/>
            </w:pPr>
            <w:r>
              <w:rPr>
                <w:rFonts w:ascii="仿宋_GB2312" w:hAnsi="仿宋_GB2312" w:cs="仿宋_GB2312" w:eastAsia="仿宋_GB2312"/>
                <w:sz w:val="32"/>
              </w:rPr>
              <w:t>紧扣新发展理念和推动高质量发展要求，紧密围绕</w:t>
            </w:r>
            <w:r>
              <w:rPr>
                <w:rFonts w:ascii="仿宋_GB2312" w:hAnsi="仿宋_GB2312" w:cs="仿宋_GB2312" w:eastAsia="仿宋_GB2312"/>
                <w:sz w:val="32"/>
              </w:rPr>
              <w:t>“</w:t>
            </w:r>
            <w:r>
              <w:rPr>
                <w:rFonts w:ascii="仿宋_GB2312" w:hAnsi="仿宋_GB2312" w:cs="仿宋_GB2312" w:eastAsia="仿宋_GB2312"/>
                <w:sz w:val="32"/>
              </w:rPr>
              <w:t>十个聚焦</w:t>
            </w:r>
            <w:r>
              <w:rPr>
                <w:rFonts w:ascii="仿宋_GB2312" w:hAnsi="仿宋_GB2312" w:cs="仿宋_GB2312" w:eastAsia="仿宋_GB2312"/>
                <w:sz w:val="32"/>
              </w:rPr>
              <w:t>”工作，深化会展与产业融合发展，立足城市禀赋和重点产业，切实提升欧亚经济论坛务实发展成效，邀请相关部门和企业参加欧亚经济论坛及相关配套活动，不断扩大欧亚论坛影响力，拟定开展全国招商招展推介活动，充分利用好欧亚经济论坛平台，积极宣传欧亚经济论坛，提升展会举办成效，立足西部地区、辐射全中国，促进国内国际双循环发展，加速打造西安国际会展名城，持续提升会展业国际化、品牌化、专业化和市场化水平，为落地西安的会展活动提供良好的环境。</w:t>
            </w:r>
          </w:p>
          <w:p>
            <w:pPr>
              <w:pStyle w:val="null3"/>
              <w:ind w:firstLine="640"/>
              <w:jc w:val="both"/>
            </w:pPr>
            <w:r>
              <w:rPr>
                <w:rFonts w:ascii="仿宋_GB2312" w:hAnsi="仿宋_GB2312" w:cs="仿宋_GB2312" w:eastAsia="仿宋_GB2312"/>
                <w:sz w:val="32"/>
              </w:rPr>
              <w:t>二、服务内容</w:t>
            </w:r>
          </w:p>
          <w:p>
            <w:pPr>
              <w:pStyle w:val="null3"/>
              <w:ind w:firstLine="640"/>
              <w:jc w:val="both"/>
            </w:pPr>
            <w:r>
              <w:rPr>
                <w:rFonts w:ascii="仿宋_GB2312" w:hAnsi="仿宋_GB2312" w:cs="仿宋_GB2312" w:eastAsia="仿宋_GB2312"/>
                <w:sz w:val="32"/>
              </w:rPr>
              <w:t>通过</w:t>
            </w:r>
            <w:r>
              <w:rPr>
                <w:rFonts w:ascii="仿宋_GB2312" w:hAnsi="仿宋_GB2312" w:cs="仿宋_GB2312" w:eastAsia="仿宋_GB2312"/>
                <w:sz w:val="32"/>
              </w:rPr>
              <w:t>招商招展</w:t>
            </w:r>
            <w:r>
              <w:rPr>
                <w:rFonts w:ascii="仿宋_GB2312" w:hAnsi="仿宋_GB2312" w:cs="仿宋_GB2312" w:eastAsia="仿宋_GB2312"/>
                <w:sz w:val="32"/>
              </w:rPr>
              <w:t>推介活动，宣传欧亚经济论坛和我市</w:t>
            </w:r>
            <w:r>
              <w:rPr>
                <w:rFonts w:ascii="仿宋_GB2312" w:hAnsi="仿宋_GB2312" w:cs="仿宋_GB2312" w:eastAsia="仿宋_GB2312"/>
                <w:sz w:val="32"/>
              </w:rPr>
              <w:t>招商招展</w:t>
            </w:r>
            <w:r>
              <w:rPr>
                <w:rFonts w:ascii="仿宋_GB2312" w:hAnsi="仿宋_GB2312" w:cs="仿宋_GB2312" w:eastAsia="仿宋_GB2312"/>
                <w:sz w:val="32"/>
              </w:rPr>
              <w:t>政策，提升西安城市品牌形象，增强国内外投资者对西安市场的信心，推动西安会展业的国际化进程。同时，加强与参会企业的交流合作，共同探讨会展业发展趋势，分享成功经验，促进会展业资源共享与互利共赢。展示西安投资环境、政策优势和会展环境，吸引更多优质品牌和企业参加我市相关活动并落户西安。</w:t>
            </w:r>
          </w:p>
          <w:p>
            <w:pPr>
              <w:pStyle w:val="null3"/>
              <w:ind w:firstLine="640"/>
              <w:jc w:val="both"/>
            </w:pPr>
            <w:r>
              <w:rPr>
                <w:rFonts w:ascii="仿宋_GB2312" w:hAnsi="仿宋_GB2312" w:cs="仿宋_GB2312" w:eastAsia="仿宋_GB2312"/>
                <w:sz w:val="32"/>
              </w:rPr>
              <w:t>拟定组织论坛配套博览会及西安会展环境</w:t>
            </w:r>
            <w:r>
              <w:rPr>
                <w:rFonts w:ascii="仿宋_GB2312" w:hAnsi="仿宋_GB2312" w:cs="仿宋_GB2312" w:eastAsia="仿宋_GB2312"/>
                <w:sz w:val="32"/>
              </w:rPr>
              <w:t>招商招展</w:t>
            </w:r>
            <w:r>
              <w:rPr>
                <w:rFonts w:ascii="仿宋_GB2312" w:hAnsi="仿宋_GB2312" w:cs="仿宋_GB2312" w:eastAsia="仿宋_GB2312"/>
                <w:sz w:val="32"/>
              </w:rPr>
              <w:t>推介活动，具体要求如下：</w:t>
            </w:r>
          </w:p>
          <w:p>
            <w:pPr>
              <w:pStyle w:val="null3"/>
              <w:ind w:firstLine="640"/>
              <w:jc w:val="both"/>
            </w:pPr>
            <w:r>
              <w:rPr>
                <w:rFonts w:ascii="仿宋_GB2312" w:hAnsi="仿宋_GB2312" w:cs="仿宋_GB2312" w:eastAsia="仿宋_GB2312"/>
                <w:sz w:val="32"/>
              </w:rPr>
              <w:t>1、推介会场次：2场</w:t>
            </w:r>
          </w:p>
          <w:p>
            <w:pPr>
              <w:pStyle w:val="null3"/>
              <w:ind w:firstLine="640"/>
              <w:jc w:val="both"/>
            </w:pPr>
            <w:r>
              <w:rPr>
                <w:rFonts w:ascii="仿宋_GB2312" w:hAnsi="仿宋_GB2312" w:cs="仿宋_GB2312" w:eastAsia="仿宋_GB2312"/>
                <w:sz w:val="32"/>
              </w:rPr>
              <w:t>2、推介会日期：</w:t>
            </w:r>
            <w:r>
              <w:rPr>
                <w:rFonts w:ascii="仿宋_GB2312" w:hAnsi="仿宋_GB2312" w:cs="仿宋_GB2312" w:eastAsia="仿宋_GB2312"/>
                <w:sz w:val="32"/>
              </w:rPr>
              <w:t>第一场</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w:t>
            </w:r>
            <w:r>
              <w:rPr>
                <w:rFonts w:ascii="仿宋_GB2312" w:hAnsi="仿宋_GB2312" w:cs="仿宋_GB2312" w:eastAsia="仿宋_GB2312"/>
                <w:sz w:val="32"/>
              </w:rPr>
              <w:t>6</w:t>
            </w:r>
            <w:r>
              <w:rPr>
                <w:rFonts w:ascii="仿宋_GB2312" w:hAnsi="仿宋_GB2312" w:cs="仿宋_GB2312" w:eastAsia="仿宋_GB2312"/>
                <w:sz w:val="32"/>
              </w:rPr>
              <w:t>月</w:t>
            </w:r>
            <w:r>
              <w:rPr>
                <w:rFonts w:ascii="仿宋_GB2312" w:hAnsi="仿宋_GB2312" w:cs="仿宋_GB2312" w:eastAsia="仿宋_GB2312"/>
                <w:sz w:val="32"/>
              </w:rPr>
              <w:t>、</w:t>
            </w:r>
            <w:r>
              <w:rPr>
                <w:rFonts w:ascii="仿宋_GB2312" w:hAnsi="仿宋_GB2312" w:cs="仿宋_GB2312" w:eastAsia="仿宋_GB2312"/>
                <w:sz w:val="32"/>
              </w:rPr>
              <w:t>第二场</w:t>
            </w:r>
            <w:r>
              <w:rPr>
                <w:rFonts w:ascii="仿宋_GB2312" w:hAnsi="仿宋_GB2312" w:cs="仿宋_GB2312" w:eastAsia="仿宋_GB2312"/>
                <w:sz w:val="32"/>
              </w:rPr>
              <w:t>202</w:t>
            </w:r>
            <w:r>
              <w:rPr>
                <w:rFonts w:ascii="仿宋_GB2312" w:hAnsi="仿宋_GB2312" w:cs="仿宋_GB2312" w:eastAsia="仿宋_GB2312"/>
                <w:sz w:val="32"/>
              </w:rPr>
              <w:t>6</w:t>
            </w:r>
            <w:r>
              <w:rPr>
                <w:rFonts w:ascii="仿宋_GB2312" w:hAnsi="仿宋_GB2312" w:cs="仿宋_GB2312" w:eastAsia="仿宋_GB2312"/>
                <w:sz w:val="32"/>
              </w:rPr>
              <w:t>年</w:t>
            </w:r>
            <w:r>
              <w:rPr>
                <w:rFonts w:ascii="仿宋_GB2312" w:hAnsi="仿宋_GB2312" w:cs="仿宋_GB2312" w:eastAsia="仿宋_GB2312"/>
                <w:sz w:val="32"/>
              </w:rPr>
              <w:t>11</w:t>
            </w:r>
            <w:r>
              <w:rPr>
                <w:rFonts w:ascii="仿宋_GB2312" w:hAnsi="仿宋_GB2312" w:cs="仿宋_GB2312" w:eastAsia="仿宋_GB2312"/>
                <w:sz w:val="32"/>
              </w:rPr>
              <w:t>月</w:t>
            </w:r>
          </w:p>
          <w:p>
            <w:pPr>
              <w:pStyle w:val="null3"/>
              <w:ind w:firstLine="640"/>
              <w:jc w:val="both"/>
            </w:pPr>
            <w:r>
              <w:rPr>
                <w:rFonts w:ascii="仿宋_GB2312" w:hAnsi="仿宋_GB2312" w:cs="仿宋_GB2312" w:eastAsia="仿宋_GB2312"/>
                <w:sz w:val="32"/>
              </w:rPr>
              <w:t>3、展会选择：</w:t>
            </w:r>
          </w:p>
          <w:p>
            <w:pPr>
              <w:pStyle w:val="null3"/>
              <w:ind w:firstLine="640"/>
              <w:jc w:val="both"/>
            </w:pPr>
            <w:r>
              <w:rPr>
                <w:rFonts w:ascii="仿宋_GB2312" w:hAnsi="仿宋_GB2312" w:cs="仿宋_GB2312" w:eastAsia="仿宋_GB2312"/>
                <w:sz w:val="32"/>
              </w:rPr>
              <w:t>在全国性知名展会或全国性展会中挑选</w:t>
            </w:r>
            <w:r>
              <w:rPr>
                <w:rFonts w:ascii="仿宋_GB2312" w:hAnsi="仿宋_GB2312" w:cs="仿宋_GB2312" w:eastAsia="仿宋_GB2312"/>
                <w:sz w:val="32"/>
              </w:rPr>
              <w:t>2个有代表性的展会举办推介活动（</w:t>
            </w:r>
            <w:r>
              <w:rPr>
                <w:rFonts w:ascii="仿宋_GB2312" w:hAnsi="仿宋_GB2312" w:cs="仿宋_GB2312" w:eastAsia="仿宋_GB2312"/>
                <w:sz w:val="32"/>
              </w:rPr>
              <w:t>6</w:t>
            </w:r>
            <w:r>
              <w:rPr>
                <w:rFonts w:ascii="仿宋_GB2312" w:hAnsi="仿宋_GB2312" w:cs="仿宋_GB2312" w:eastAsia="仿宋_GB2312"/>
                <w:sz w:val="32"/>
              </w:rPr>
              <w:t>月</w:t>
            </w:r>
            <w:r>
              <w:rPr>
                <w:rFonts w:ascii="仿宋_GB2312" w:hAnsi="仿宋_GB2312" w:cs="仿宋_GB2312" w:eastAsia="仿宋_GB2312"/>
                <w:sz w:val="32"/>
              </w:rPr>
              <w:t>1</w:t>
            </w:r>
            <w:r>
              <w:rPr>
                <w:rFonts w:ascii="仿宋_GB2312" w:hAnsi="仿宋_GB2312" w:cs="仿宋_GB2312" w:eastAsia="仿宋_GB2312"/>
                <w:sz w:val="32"/>
              </w:rPr>
              <w:t>1</w:t>
            </w:r>
            <w:r>
              <w:rPr>
                <w:rFonts w:ascii="仿宋_GB2312" w:hAnsi="仿宋_GB2312" w:cs="仿宋_GB2312" w:eastAsia="仿宋_GB2312"/>
                <w:sz w:val="32"/>
              </w:rPr>
              <w:t>日</w:t>
            </w:r>
            <w:r>
              <w:rPr>
                <w:rFonts w:ascii="仿宋_GB2312" w:hAnsi="仿宋_GB2312" w:cs="仿宋_GB2312" w:eastAsia="仿宋_GB2312"/>
                <w:sz w:val="32"/>
              </w:rPr>
              <w:t>-</w:t>
            </w:r>
            <w:r>
              <w:rPr>
                <w:rFonts w:ascii="仿宋_GB2312" w:hAnsi="仿宋_GB2312" w:cs="仿宋_GB2312" w:eastAsia="仿宋_GB2312"/>
                <w:sz w:val="32"/>
              </w:rPr>
              <w:t>16</w:t>
            </w:r>
            <w:r>
              <w:rPr>
                <w:rFonts w:ascii="仿宋_GB2312" w:hAnsi="仿宋_GB2312" w:cs="仿宋_GB2312" w:eastAsia="仿宋_GB2312"/>
                <w:sz w:val="32"/>
              </w:rPr>
              <w:t>日第</w:t>
            </w:r>
            <w:r>
              <w:rPr>
                <w:rFonts w:ascii="仿宋_GB2312" w:hAnsi="仿宋_GB2312" w:cs="仿宋_GB2312" w:eastAsia="仿宋_GB2312"/>
                <w:sz w:val="32"/>
              </w:rPr>
              <w:t>10</w:t>
            </w:r>
            <w:r>
              <w:rPr>
                <w:rFonts w:ascii="仿宋_GB2312" w:hAnsi="仿宋_GB2312" w:cs="仿宋_GB2312" w:eastAsia="仿宋_GB2312"/>
                <w:sz w:val="32"/>
              </w:rPr>
              <w:t>届中国</w:t>
            </w:r>
            <w:r>
              <w:rPr>
                <w:rFonts w:ascii="仿宋_GB2312" w:hAnsi="仿宋_GB2312" w:cs="仿宋_GB2312" w:eastAsia="仿宋_GB2312"/>
                <w:sz w:val="32"/>
              </w:rPr>
              <w:t>— 南亚博览会、</w:t>
            </w:r>
            <w:r>
              <w:rPr>
                <w:rFonts w:ascii="仿宋_GB2312" w:hAnsi="仿宋_GB2312" w:cs="仿宋_GB2312" w:eastAsia="仿宋_GB2312"/>
                <w:sz w:val="32"/>
              </w:rPr>
              <w:t>11</w:t>
            </w:r>
            <w:r>
              <w:rPr>
                <w:rFonts w:ascii="仿宋_GB2312" w:hAnsi="仿宋_GB2312" w:cs="仿宋_GB2312" w:eastAsia="仿宋_GB2312"/>
                <w:sz w:val="32"/>
              </w:rPr>
              <w:t>月</w:t>
            </w:r>
            <w:r>
              <w:rPr>
                <w:rFonts w:ascii="仿宋_GB2312" w:hAnsi="仿宋_GB2312" w:cs="仿宋_GB2312" w:eastAsia="仿宋_GB2312"/>
                <w:sz w:val="32"/>
              </w:rPr>
              <w:t>10</w:t>
            </w:r>
            <w:r>
              <w:rPr>
                <w:rFonts w:ascii="仿宋_GB2312" w:hAnsi="仿宋_GB2312" w:cs="仿宋_GB2312" w:eastAsia="仿宋_GB2312"/>
                <w:sz w:val="32"/>
              </w:rPr>
              <w:t>日</w:t>
            </w:r>
            <w:r>
              <w:rPr>
                <w:rFonts w:ascii="仿宋_GB2312" w:hAnsi="仿宋_GB2312" w:cs="仿宋_GB2312" w:eastAsia="仿宋_GB2312"/>
                <w:sz w:val="32"/>
              </w:rPr>
              <w:t>-</w:t>
            </w:r>
            <w:r>
              <w:rPr>
                <w:rFonts w:ascii="仿宋_GB2312" w:hAnsi="仿宋_GB2312" w:cs="仿宋_GB2312" w:eastAsia="仿宋_GB2312"/>
                <w:sz w:val="32"/>
              </w:rPr>
              <w:t>15</w:t>
            </w:r>
            <w:r>
              <w:rPr>
                <w:rFonts w:ascii="仿宋_GB2312" w:hAnsi="仿宋_GB2312" w:cs="仿宋_GB2312" w:eastAsia="仿宋_GB2312"/>
                <w:sz w:val="32"/>
              </w:rPr>
              <w:t>日</w:t>
            </w:r>
            <w:r>
              <w:rPr>
                <w:rFonts w:ascii="仿宋_GB2312" w:hAnsi="仿宋_GB2312" w:cs="仿宋_GB2312" w:eastAsia="仿宋_GB2312"/>
                <w:sz w:val="32"/>
                <w:color w:val="000000"/>
              </w:rPr>
              <w:t>第</w:t>
            </w:r>
            <w:r>
              <w:rPr>
                <w:rFonts w:ascii="仿宋_GB2312" w:hAnsi="仿宋_GB2312" w:cs="仿宋_GB2312" w:eastAsia="仿宋_GB2312"/>
                <w:sz w:val="32"/>
                <w:color w:val="000000"/>
              </w:rPr>
              <w:t>16</w:t>
            </w:r>
            <w:r>
              <w:rPr>
                <w:rFonts w:ascii="仿宋_GB2312" w:hAnsi="仿宋_GB2312" w:cs="仿宋_GB2312" w:eastAsia="仿宋_GB2312"/>
                <w:sz w:val="32"/>
                <w:color w:val="000000"/>
              </w:rPr>
              <w:t>届中国国际航空航天博览会</w:t>
            </w:r>
            <w:r>
              <w:rPr>
                <w:rFonts w:ascii="仿宋_GB2312" w:hAnsi="仿宋_GB2312" w:cs="仿宋_GB2312" w:eastAsia="仿宋_GB2312"/>
                <w:sz w:val="32"/>
              </w:rPr>
              <w:t>），具体以实际举办推介会为准。</w:t>
            </w:r>
          </w:p>
          <w:p>
            <w:pPr>
              <w:pStyle w:val="null3"/>
              <w:ind w:firstLine="640"/>
              <w:jc w:val="both"/>
            </w:pPr>
            <w:r>
              <w:rPr>
                <w:rFonts w:ascii="仿宋_GB2312" w:hAnsi="仿宋_GB2312" w:cs="仿宋_GB2312" w:eastAsia="仿宋_GB2312"/>
                <w:sz w:val="32"/>
              </w:rPr>
              <w:t>4、嘉宾邀请：</w:t>
            </w:r>
          </w:p>
          <w:p>
            <w:pPr>
              <w:pStyle w:val="null3"/>
              <w:ind w:firstLine="640"/>
              <w:jc w:val="both"/>
            </w:pPr>
            <w:r>
              <w:rPr>
                <w:rFonts w:ascii="仿宋_GB2312" w:hAnsi="仿宋_GB2312" w:cs="仿宋_GB2312" w:eastAsia="仿宋_GB2312"/>
                <w:sz w:val="32"/>
              </w:rPr>
              <w:t>根据展会形式及所涉及行业，进行定向的嘉宾邀约。</w:t>
            </w:r>
          </w:p>
          <w:p>
            <w:pPr>
              <w:pStyle w:val="null3"/>
              <w:ind w:firstLine="640"/>
              <w:jc w:val="both"/>
            </w:pPr>
            <w:r>
              <w:rPr>
                <w:rFonts w:ascii="仿宋_GB2312" w:hAnsi="仿宋_GB2312" w:cs="仿宋_GB2312" w:eastAsia="仿宋_GB2312"/>
                <w:sz w:val="32"/>
              </w:rPr>
              <w:t>第</w:t>
            </w:r>
            <w:r>
              <w:rPr>
                <w:rFonts w:ascii="仿宋_GB2312" w:hAnsi="仿宋_GB2312" w:cs="仿宋_GB2312" w:eastAsia="仿宋_GB2312"/>
                <w:sz w:val="32"/>
              </w:rPr>
              <w:t>10</w:t>
            </w:r>
            <w:r>
              <w:rPr>
                <w:rFonts w:ascii="仿宋_GB2312" w:hAnsi="仿宋_GB2312" w:cs="仿宋_GB2312" w:eastAsia="仿宋_GB2312"/>
                <w:sz w:val="32"/>
              </w:rPr>
              <w:t>届中国</w:t>
            </w:r>
            <w:r>
              <w:rPr>
                <w:rFonts w:ascii="仿宋_GB2312" w:hAnsi="仿宋_GB2312" w:cs="仿宋_GB2312" w:eastAsia="仿宋_GB2312"/>
                <w:sz w:val="32"/>
              </w:rPr>
              <w:t>— 南亚博览会嘉宾邀约：企业代表不少于100人，其中包含：当地知名企业参会代表不少于3家；参会企业中层管理人员不少于40%，参会企业数量不少于60家；展会相关企业主管部门副职以上嘉宾不少于1名；商业协会、研究机构专家学者不少于2名；进出口贸易类公司企业代表。</w:t>
            </w:r>
          </w:p>
          <w:p>
            <w:pPr>
              <w:pStyle w:val="null3"/>
              <w:ind w:firstLine="640"/>
              <w:jc w:val="both"/>
            </w:pPr>
            <w:r>
              <w:rPr>
                <w:rFonts w:ascii="仿宋_GB2312" w:hAnsi="仿宋_GB2312" w:cs="仿宋_GB2312" w:eastAsia="仿宋_GB2312"/>
                <w:sz w:val="32"/>
                <w:color w:val="000000"/>
              </w:rPr>
              <w:t>第</w:t>
            </w:r>
            <w:r>
              <w:rPr>
                <w:rFonts w:ascii="仿宋_GB2312" w:hAnsi="仿宋_GB2312" w:cs="仿宋_GB2312" w:eastAsia="仿宋_GB2312"/>
                <w:sz w:val="32"/>
                <w:color w:val="000000"/>
              </w:rPr>
              <w:t>16</w:t>
            </w:r>
            <w:r>
              <w:rPr>
                <w:rFonts w:ascii="仿宋_GB2312" w:hAnsi="仿宋_GB2312" w:cs="仿宋_GB2312" w:eastAsia="仿宋_GB2312"/>
                <w:sz w:val="32"/>
                <w:color w:val="000000"/>
              </w:rPr>
              <w:t>届中国国际航空航天博览会</w:t>
            </w:r>
            <w:r>
              <w:rPr>
                <w:rFonts w:ascii="仿宋_GB2312" w:hAnsi="仿宋_GB2312" w:cs="仿宋_GB2312" w:eastAsia="仿宋_GB2312"/>
                <w:sz w:val="32"/>
              </w:rPr>
              <w:t>嘉宾邀约：企业代表不少于</w:t>
            </w:r>
            <w:r>
              <w:rPr>
                <w:rFonts w:ascii="仿宋_GB2312" w:hAnsi="仿宋_GB2312" w:cs="仿宋_GB2312" w:eastAsia="仿宋_GB2312"/>
                <w:sz w:val="32"/>
              </w:rPr>
              <w:t>100人，其中包含：当地知名企业参会代表不少于3家；参会企业中层管理人员不少于40%，参会企业数量不少于60家；展会相关企业主管部门副职以上嘉宾不少于1名；商业协会、研究机构专家学者不少于2名；投资合作类企业代表。</w:t>
            </w:r>
          </w:p>
          <w:p>
            <w:pPr>
              <w:pStyle w:val="null3"/>
              <w:ind w:firstLine="640"/>
              <w:jc w:val="both"/>
            </w:pPr>
            <w:r>
              <w:rPr>
                <w:rFonts w:ascii="仿宋_GB2312" w:hAnsi="仿宋_GB2312" w:cs="仿宋_GB2312" w:eastAsia="仿宋_GB2312"/>
                <w:sz w:val="32"/>
              </w:rPr>
              <w:t>5、媒体宣传：</w:t>
            </w:r>
          </w:p>
          <w:p>
            <w:pPr>
              <w:pStyle w:val="null3"/>
              <w:ind w:firstLine="640"/>
              <w:jc w:val="both"/>
            </w:pPr>
            <w:r>
              <w:rPr>
                <w:rFonts w:ascii="仿宋_GB2312" w:hAnsi="仿宋_GB2312" w:cs="仿宋_GB2312" w:eastAsia="仿宋_GB2312"/>
                <w:sz w:val="32"/>
              </w:rPr>
              <w:t>5.1、组织拟定并撰写推介会的宣传通稿，确保内容详实、有吸引力，便于后续在全网范围内进行刊发和转载。同时根据采购人的具体需求，积极邀请主流媒体的记者参加推介会，以扩大活动的影响力和覆盖范围。</w:t>
            </w:r>
          </w:p>
          <w:p>
            <w:pPr>
              <w:pStyle w:val="null3"/>
              <w:ind w:firstLine="640"/>
              <w:jc w:val="both"/>
            </w:pPr>
            <w:r>
              <w:rPr>
                <w:rFonts w:ascii="仿宋_GB2312" w:hAnsi="仿宋_GB2312" w:cs="仿宋_GB2312" w:eastAsia="仿宋_GB2312"/>
                <w:sz w:val="32"/>
              </w:rPr>
              <w:t>5.2、及时发布推介会通稿，每篇通稿发稿不少于20家媒体，发稿比例：陕西日报旗下知名媒体或者同等级别媒体不少于1家，西安报业旗下知名媒体或者同等级别媒体不少于2家，其他西安市媒体不少于5家；推介会落地省市知名媒体不少于2家，全国性媒体（财经类、新闻信息类）不少于10家。</w:t>
            </w:r>
          </w:p>
          <w:p>
            <w:pPr>
              <w:pStyle w:val="null3"/>
              <w:ind w:firstLine="640"/>
              <w:jc w:val="both"/>
            </w:pPr>
            <w:r>
              <w:rPr>
                <w:rFonts w:ascii="仿宋_GB2312" w:hAnsi="仿宋_GB2312" w:cs="仿宋_GB2312" w:eastAsia="仿宋_GB2312"/>
                <w:sz w:val="32"/>
              </w:rPr>
              <w:t>6、会务要求：</w:t>
            </w:r>
          </w:p>
          <w:p>
            <w:pPr>
              <w:pStyle w:val="null3"/>
              <w:ind w:firstLine="640"/>
              <w:jc w:val="both"/>
            </w:pPr>
            <w:r>
              <w:rPr>
                <w:rFonts w:ascii="仿宋_GB2312" w:hAnsi="仿宋_GB2312" w:cs="仿宋_GB2312" w:eastAsia="仿宋_GB2312"/>
                <w:sz w:val="32"/>
              </w:rPr>
              <w:t>6.1、住 宿：优先安排符合住宿标准及房间数量的酒店。</w:t>
            </w:r>
          </w:p>
          <w:p>
            <w:pPr>
              <w:pStyle w:val="null3"/>
              <w:ind w:firstLine="640"/>
              <w:jc w:val="both"/>
            </w:pPr>
            <w:r>
              <w:rPr>
                <w:rFonts w:ascii="仿宋_GB2312" w:hAnsi="仿宋_GB2312" w:cs="仿宋_GB2312" w:eastAsia="仿宋_GB2312"/>
                <w:sz w:val="32"/>
              </w:rPr>
              <w:t>6.2、会议场地：推介会会场位于城市核心区，会议厅不小于400平方，可容纳规模150人，需配置LED屏幕、音响、灯光等与活动相关的配套硬件设备设施。</w:t>
            </w:r>
          </w:p>
          <w:p>
            <w:pPr>
              <w:pStyle w:val="null3"/>
              <w:ind w:firstLine="640"/>
              <w:jc w:val="both"/>
            </w:pPr>
            <w:r>
              <w:rPr>
                <w:rFonts w:ascii="仿宋_GB2312" w:hAnsi="仿宋_GB2312" w:cs="仿宋_GB2312" w:eastAsia="仿宋_GB2312"/>
                <w:sz w:val="32"/>
              </w:rPr>
              <w:t>6.3、餐饮：具备中、西式自助餐供应能力，可定制用餐标准及菜单。</w:t>
            </w:r>
          </w:p>
          <w:p>
            <w:pPr>
              <w:pStyle w:val="null3"/>
              <w:ind w:firstLine="640"/>
              <w:jc w:val="both"/>
            </w:pPr>
            <w:r>
              <w:rPr>
                <w:rFonts w:ascii="仿宋_GB2312" w:hAnsi="仿宋_GB2312" w:cs="仿宋_GB2312" w:eastAsia="仿宋_GB2312"/>
                <w:sz w:val="32"/>
              </w:rPr>
              <w:t>6.4、用车：提供点对点接送机服务，出行车辆保障服务，包括但不限于机场、高铁站的接送机动线规划，接送机车辆的遴选（考斯特、GL8商务）</w:t>
            </w:r>
          </w:p>
          <w:p>
            <w:pPr>
              <w:pStyle w:val="null3"/>
              <w:ind w:firstLine="640"/>
              <w:jc w:val="both"/>
            </w:pPr>
            <w:r>
              <w:rPr>
                <w:rFonts w:ascii="仿宋_GB2312" w:hAnsi="仿宋_GB2312" w:cs="仿宋_GB2312" w:eastAsia="仿宋_GB2312"/>
                <w:sz w:val="32"/>
              </w:rPr>
              <w:t>7、物料搭建：</w:t>
            </w:r>
          </w:p>
          <w:p>
            <w:pPr>
              <w:pStyle w:val="null3"/>
              <w:ind w:firstLine="640"/>
              <w:jc w:val="both"/>
            </w:pPr>
            <w:r>
              <w:rPr>
                <w:rFonts w:ascii="仿宋_GB2312" w:hAnsi="仿宋_GB2312" w:cs="仿宋_GB2312" w:eastAsia="仿宋_GB2312"/>
                <w:sz w:val="32"/>
              </w:rPr>
              <w:t>7.1、会场布置：会场签到、指引及各类物料设计搭建等，包括但不限于嘉宾桌签、签到背景、合影背景、导视指引等。</w:t>
            </w:r>
          </w:p>
          <w:p>
            <w:pPr>
              <w:pStyle w:val="null3"/>
              <w:ind w:firstLine="640"/>
              <w:jc w:val="both"/>
            </w:pPr>
            <w:r>
              <w:rPr>
                <w:rFonts w:ascii="仿宋_GB2312" w:hAnsi="仿宋_GB2312" w:cs="仿宋_GB2312" w:eastAsia="仿宋_GB2312"/>
                <w:sz w:val="32"/>
              </w:rPr>
              <w:t>7.2、会务用品：推介会相关介绍手册、会议议程等。</w:t>
            </w:r>
          </w:p>
          <w:p>
            <w:pPr>
              <w:pStyle w:val="null3"/>
              <w:ind w:firstLine="640"/>
              <w:jc w:val="both"/>
            </w:pPr>
            <w:r>
              <w:rPr>
                <w:rFonts w:ascii="仿宋_GB2312" w:hAnsi="仿宋_GB2312" w:cs="仿宋_GB2312" w:eastAsia="仿宋_GB2312"/>
                <w:sz w:val="32"/>
              </w:rPr>
              <w:t>三、服务要求</w:t>
            </w:r>
          </w:p>
          <w:p>
            <w:pPr>
              <w:pStyle w:val="null3"/>
              <w:ind w:firstLine="640"/>
              <w:jc w:val="both"/>
            </w:pPr>
            <w:r>
              <w:rPr>
                <w:rFonts w:ascii="仿宋_GB2312" w:hAnsi="仿宋_GB2312" w:cs="仿宋_GB2312" w:eastAsia="仿宋_GB2312"/>
                <w:sz w:val="32"/>
              </w:rPr>
              <w:t>1、会前准备：</w:t>
            </w:r>
          </w:p>
          <w:p>
            <w:pPr>
              <w:pStyle w:val="null3"/>
              <w:ind w:firstLine="640"/>
              <w:jc w:val="both"/>
            </w:pPr>
            <w:r>
              <w:rPr>
                <w:rFonts w:ascii="仿宋_GB2312" w:hAnsi="仿宋_GB2312" w:cs="仿宋_GB2312" w:eastAsia="仿宋_GB2312"/>
                <w:sz w:val="32"/>
              </w:rPr>
              <w:t>成立推介会组织服务项目团队，指定推介会项目负责人；拟定推介会日程安排，欧亚经济论坛及配套博览会相关介绍，参会企业及领导介绍，推介会配套活动安排、地点及联络人；选择具有百人以上活动主持经验的专业主持人。</w:t>
            </w:r>
          </w:p>
          <w:p>
            <w:pPr>
              <w:pStyle w:val="null3"/>
              <w:ind w:firstLine="640"/>
              <w:jc w:val="both"/>
            </w:pPr>
            <w:r>
              <w:rPr>
                <w:rFonts w:ascii="仿宋_GB2312" w:hAnsi="仿宋_GB2312" w:cs="仿宋_GB2312" w:eastAsia="仿宋_GB2312"/>
                <w:sz w:val="32"/>
              </w:rPr>
              <w:t>2、会中组织：</w:t>
            </w:r>
          </w:p>
          <w:p>
            <w:pPr>
              <w:pStyle w:val="null3"/>
              <w:ind w:firstLine="640"/>
              <w:jc w:val="both"/>
            </w:pPr>
            <w:r>
              <w:rPr>
                <w:rFonts w:ascii="仿宋_GB2312" w:hAnsi="仿宋_GB2312" w:cs="仿宋_GB2312" w:eastAsia="仿宋_GB2312"/>
                <w:sz w:val="32"/>
              </w:rPr>
              <w:t>提前做好会务接待、推介会彩排等相关工作；推介会当日详细流程及动线引导设计；参会嘉宾及领导接待；领导及嘉宾发言稿提前确认准备；到场及发稿重点媒体联络接待。</w:t>
            </w:r>
          </w:p>
          <w:p>
            <w:pPr>
              <w:pStyle w:val="null3"/>
              <w:ind w:firstLine="640"/>
              <w:jc w:val="both"/>
            </w:pPr>
            <w:r>
              <w:rPr>
                <w:rFonts w:ascii="仿宋_GB2312" w:hAnsi="仿宋_GB2312" w:cs="仿宋_GB2312" w:eastAsia="仿宋_GB2312"/>
                <w:sz w:val="32"/>
              </w:rPr>
              <w:t>3、会后跟进：</w:t>
            </w:r>
          </w:p>
          <w:p>
            <w:pPr>
              <w:pStyle w:val="null3"/>
              <w:ind w:firstLine="640"/>
              <w:jc w:val="both"/>
            </w:pPr>
            <w:r>
              <w:rPr>
                <w:rFonts w:ascii="仿宋_GB2312" w:hAnsi="仿宋_GB2312" w:cs="仿宋_GB2312" w:eastAsia="仿宋_GB2312"/>
                <w:sz w:val="32"/>
              </w:rPr>
              <w:t>对当次推介会的各界反馈进行及时收集整理；对当次推介会进行复盘并指导下场推介会的准备工作优化；对当次推介会相关媒体报道刊发材料进行收集汇总整理。</w:t>
            </w:r>
          </w:p>
          <w:p>
            <w:pPr>
              <w:pStyle w:val="null3"/>
              <w:ind w:firstLine="640"/>
              <w:jc w:val="both"/>
            </w:pPr>
            <w:r>
              <w:rPr>
                <w:rFonts w:ascii="仿宋_GB2312" w:hAnsi="仿宋_GB2312" w:cs="仿宋_GB2312" w:eastAsia="仿宋_GB2312"/>
                <w:sz w:val="32"/>
              </w:rPr>
              <w:t>四、其他要求</w:t>
            </w:r>
          </w:p>
          <w:p>
            <w:pPr>
              <w:pStyle w:val="null3"/>
              <w:ind w:firstLine="640"/>
              <w:jc w:val="both"/>
            </w:pPr>
            <w:r>
              <w:rPr>
                <w:rFonts w:ascii="仿宋_GB2312" w:hAnsi="仿宋_GB2312" w:cs="仿宋_GB2312" w:eastAsia="仿宋_GB2312"/>
                <w:sz w:val="32"/>
              </w:rPr>
              <w:t>1、人员要求：</w:t>
            </w:r>
          </w:p>
          <w:p>
            <w:pPr>
              <w:pStyle w:val="null3"/>
              <w:ind w:firstLine="640"/>
              <w:jc w:val="both"/>
            </w:pPr>
            <w:r>
              <w:rPr>
                <w:rFonts w:ascii="仿宋_GB2312" w:hAnsi="仿宋_GB2312" w:cs="仿宋_GB2312" w:eastAsia="仿宋_GB2312"/>
                <w:sz w:val="32"/>
              </w:rPr>
              <w:t>项目团队人员配置固定人员不少于</w:t>
            </w:r>
            <w:r>
              <w:rPr>
                <w:rFonts w:ascii="仿宋_GB2312" w:hAnsi="仿宋_GB2312" w:cs="仿宋_GB2312" w:eastAsia="仿宋_GB2312"/>
                <w:sz w:val="32"/>
              </w:rPr>
              <w:t>3人（项目</w:t>
            </w:r>
            <w:r>
              <w:rPr>
                <w:rFonts w:ascii="仿宋_GB2312" w:hAnsi="仿宋_GB2312" w:cs="仿宋_GB2312" w:eastAsia="仿宋_GB2312"/>
                <w:sz w:val="32"/>
              </w:rPr>
              <w:t>负责人</w:t>
            </w:r>
            <w:r>
              <w:rPr>
                <w:rFonts w:ascii="仿宋_GB2312" w:hAnsi="仿宋_GB2312" w:cs="仿宋_GB2312" w:eastAsia="仿宋_GB2312"/>
                <w:sz w:val="32"/>
              </w:rPr>
              <w:t>、接待联系人、执行工作人员），岗位分工明确，团队协作性强。</w:t>
            </w:r>
          </w:p>
          <w:p>
            <w:pPr>
              <w:pStyle w:val="null3"/>
              <w:ind w:firstLine="640"/>
              <w:jc w:val="both"/>
            </w:pPr>
            <w:r>
              <w:rPr>
                <w:rFonts w:ascii="仿宋_GB2312" w:hAnsi="仿宋_GB2312" w:cs="仿宋_GB2312" w:eastAsia="仿宋_GB2312"/>
                <w:sz w:val="32"/>
              </w:rPr>
              <w:t>2、成果要求：</w:t>
            </w:r>
          </w:p>
          <w:p>
            <w:pPr>
              <w:pStyle w:val="null3"/>
              <w:ind w:firstLine="640"/>
              <w:jc w:val="both"/>
            </w:pPr>
            <w:r>
              <w:rPr>
                <w:rFonts w:ascii="仿宋_GB2312" w:hAnsi="仿宋_GB2312" w:cs="仿宋_GB2312" w:eastAsia="仿宋_GB2312"/>
                <w:sz w:val="32"/>
              </w:rPr>
              <w:t>策划整体推介会节奏，推介会落地执行并邀请相关领导及嘉宾到场参与，提供推介会的相关媒体报道文案整理，包括但不限于：视频、照片、截图等，提供项目结案报告，说明推介会的组织执行效果数据，回顾总结推介会工作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第一场2026年6月、第二场2026年11月，具体以实际举办推介会为准。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在全国性知名展会或全国性展会中挑选2个有代表性的展会举办推介活动（6月11日-16日第10届中国 — 南亚博览会、11月10日-15日第16届中国国际航空航天博览会），具体以实际举办推介会为准，满足采购人要求。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由采购人负责组织验收，或者邀请有关专家或第三方机构对项目进行验收，并填写采购项目验收报告单，验收时成交人应无条件予以配合并提供所需的全部文件； 验收依据：磋商文件、响应文件、合同文本、国家相应的标准、规范。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两场推介会全部落地结束后，根据甲方的采购需求和验收方案，进行两场活动的整体验收，验收合格后，支付合同总金额的所剩项目尾款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（二）若双方任何一方违约，违约一方每逾期一天应向对方支付合同价款0.01‰违约金。 （三）乙方未按合同要求提供服务或服务质量不能满足本次招标要求，甲方会同监督机构、采购代理机构有权终止合同和对乙方违约行为进行追究，同时按政府采购法的有关规定进行相应的处罚（四）乙方违反本合同约定未履行合同约定义务的，应当向甲方支付合同价款10 %的违约金，违约金不足以弥补甲方损失的，应当承担补充赔偿责任。（五）若未经甲方书面允许，乙方将本合同项下的权利义务全部或部分转委托给第三人，甲方有权单方解除合同。乙方应向甲方赔偿相当于合同价款10%的违约金，若违约金不足以弥补甲方损失的，乙方还应承担补足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商务要求不得负偏离。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具有独立承担民事责任能力的法人或其他组织，提供统一社会信用代码的营业执照（或事业单位提供事业单位法人证书，自然人提供本人身份证）；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法人证明或授权</w:t>
            </w:r>
          </w:p>
        </w:tc>
        <w:tc>
          <w:tcPr>
            <w:tcW w:type="dxa" w:w="3322"/>
          </w:tcPr>
          <w:p>
            <w:pPr>
              <w:pStyle w:val="null3"/>
            </w:pPr>
            <w:r>
              <w:rPr>
                <w:rFonts w:ascii="仿宋_GB2312" w:hAnsi="仿宋_GB2312" w:cs="仿宋_GB2312" w:eastAsia="仿宋_GB2312"/>
              </w:rPr>
              <w:t>法定代表人直接磋商须提交法定代表人身份证明书，法定代表人授权代表参加磋商的，须出具授权书；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提供2024年或2025年经审计的财务审计报告(成立时间至提交磋商响应文件截止时间不足年的可提供成立后任意时段的资产负债表)或其基本存款账户开户银行出具的资信证明；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提供2025年至今已缴纳的任意1个月的纳税证明或完税证明（纳税证明或完税证明上应有代收机构或税务机关的公章或业务章），依法免税的单位应提供相关证明材料；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提供2025年至今已缴存的任意1个月的社会保障资金缴存单据或社保机构开具的社会保险参保缴费情况证明，依法不需要缴纳社会保障资金的应提供相关证明材料；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提供未被“信用中国”网站列入失信被执行人和重大税收违法失信主体，未被中国政府采购网列入政府采购严重违法失信行为记录名单书面声明及查询公示结果截图；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其他资料.docx 报价表 响应函 陕西省政府采购供应商拒绝政府采购领域商业贿赂承诺书.docx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项目的采购需求进行全面分析，根据供应商对项目的熟识、分析理解进行综合比较。对项目需求、推介活动的开展和现状的理解完全满足本项目要求，计3分；对项目需求、推介活动的开展和现状的理解基本满足本项目要求，计2分；对项目需求、推介活动的开展和现状的理解不能满足本项目要求，计1分；未提供方案或只有标题没有实质性内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项目整体实施方案： ①工作流程：内容完整，科学合理，可行性强的，计3分；内容存在欠缺不完善，可行性低，计2分；内容粗略，逻辑混乱，与本项目不匹配，计1分；未提供不得分。 ②工作计划：内容完整，科学合理，可行性强的，计3分；内容存在欠缺不完善，可行性低，计2分；内容粗略，逻辑混乱，与本项目不匹配，计1分；未提供不得分。 ③工作时效：内容完整，科学合理，可行性强的，计3分；内容存在欠缺不完善，可行性低，计2分；内容粗略，逻辑混乱，与本项目不匹配，计1分；未提供不得分。 ④质量保证：内容完整，科学合理，可行性强的，计3分；内容存在欠缺不完善，可行性低，计2分；内容粗略，逻辑混乱，与本项目不匹配，计1分；未提供不得分。 ⑤驻场人员服务方案：内容完整，科学合理，可行性强的，计3分；内容存在欠缺不完善，可行性低，计2分；内容粗略，逻辑混乱，与本项目不匹配，计1分；未提供不得分。 ⑥法律法规的掌握程度：内容完整，科学合理，可行性强的，计3分；内容存在欠缺不完善，可行性低，计2分；内容粗略，逻辑混乱，与本项目不匹配，计1分；未提供不得分。 ⑦成果文件规范、准确性：内容完整，科学合理，可行性强的，计3分；内容存在欠缺不完善，可行性低，计2分；内容粗略，逻辑混乱，与本项目不匹配，计1分；未提供不得分。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流程制度</w:t>
            </w:r>
          </w:p>
        </w:tc>
        <w:tc>
          <w:tcPr>
            <w:tcW w:type="dxa" w:w="2492"/>
          </w:tcPr>
          <w:p>
            <w:pPr>
              <w:pStyle w:val="null3"/>
            </w:pPr>
            <w:r>
              <w:rPr>
                <w:rFonts w:ascii="仿宋_GB2312" w:hAnsi="仿宋_GB2312" w:cs="仿宋_GB2312" w:eastAsia="仿宋_GB2312"/>
              </w:rPr>
              <w:t>①工作制度管理措施：内容完整，科学合理，可行性强的，计3分；内容存在欠缺不完善，可行性低，计2分；内容粗略，逻辑混乱，与本项目不匹配，计1分；未提供不得分。 ②资料审核制度：内容完整，科学合理，可行性强的，计3分；内容存在欠缺不完善，可行性低，计2分；内容粗略，逻辑混乱，与本项目不匹配，计1分；未提供不得分。 ③人员管理措施：内容完整，科学合理，可行性强的，计3分；内容存在欠缺不完善，可行性低，计2分；内容粗略，逻辑混乱，与本项目不匹配，计1分；未提供不得分。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①交接：内容完整，科学合理，可行性强的，计1分；内容存在欠缺不完善，可行性低，计0.5分；内容粗略，逻辑混乱，与本项目不匹配，计0.3分；未提供不得分。 ②审核：内容完整，科学合理，可行性强的，计1分；内容存在欠缺不完善，可行性低，计0.5分；内容粗略，逻辑混乱，与本项目不匹配，计0.3分；未提供不得分。 ③保管：内容完整，科学合理，可行性强的，计1分；内容存在欠缺不完善，可行性低，计0.5分；内容粗略，逻辑混乱，与本项目不匹配，计0.3分；未提供不得分。 ④移交：内容完整，科学合理，可行性强的，计1分；内容存在欠缺不完善，可行性低，计0.5分；内容粗略，逻辑混乱，与本项目不匹配，计0.3分；未提供不得分。 ⑤归档等的完善程度、资料处置链条的完整程度、管理措施的具体性、责任清晰度，内容完整，科学合理，可行性强的，计1分；内容存在欠缺不完善，可行性低，计0.5分；内容粗略，逻辑混乱，与本项目不匹配，计0.3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保密工作措施</w:t>
            </w:r>
          </w:p>
        </w:tc>
        <w:tc>
          <w:tcPr>
            <w:tcW w:type="dxa" w:w="2492"/>
          </w:tcPr>
          <w:p>
            <w:pPr>
              <w:pStyle w:val="null3"/>
            </w:pPr>
            <w:r>
              <w:rPr>
                <w:rFonts w:ascii="仿宋_GB2312" w:hAnsi="仿宋_GB2312" w:cs="仿宋_GB2312" w:eastAsia="仿宋_GB2312"/>
              </w:rPr>
              <w:t>①保密措施:内容完整，科学合理，可行性强的，计1分；内容存在欠缺不完善，可行性低，计0.5分；内容粗略，逻辑混乱，与本项目不匹配，计0.3分；未提供不得分。 ②保密管理制度：内容完整，科学合理，可行性强的，计1分；内容存在欠缺不完善，可行性低，计0.5分；内容粗略，逻辑混乱，与本项目不匹配，计0.3分；未提供不得分。 ③保密人员及职责;内容完整，科学合理，可行性强的，计1分；内容存在欠缺不完善，可行性低，计0.5分；内容粗略，逻辑混乱，与本项目不匹配，计0.3分；未提供不得分。 ④保密档案管理措施:内容完整，科学合理，可行性强的，计1分；内容存在欠缺不完善，可行性低，计0.5分；内容粗略，逻辑混乱，与本项目不匹配，计0.3分；未提供不得分。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①重点、难点分析:内容完整，科学合理，可行性强的，计2分；内容存在欠缺不完善，可行性低，计1.5分；内容粗略，逻辑混乱，与本项目不匹配，计0.5分；未提供不得分。 ②应对措施:内容完整，科学合理，可行性强的，计2分；内容存在欠缺不完善，可行性低，计1.5分；内容粗略，逻辑混乱，与本项目不匹配，计0.5分；未提供不得分。 ③重点、难点相关经验:内容完整，科学合理，可行性强的，计2分；内容存在欠缺不完善，可行性低，计1.5分；内容粗略，逻辑混乱，与本项目不匹配，计0.5分；未提供不得分。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 措施</w:t>
            </w:r>
          </w:p>
        </w:tc>
        <w:tc>
          <w:tcPr>
            <w:tcW w:type="dxa" w:w="2492"/>
          </w:tcPr>
          <w:p>
            <w:pPr>
              <w:pStyle w:val="null3"/>
            </w:pPr>
            <w:r>
              <w:rPr>
                <w:rFonts w:ascii="仿宋_GB2312" w:hAnsi="仿宋_GB2312" w:cs="仿宋_GB2312" w:eastAsia="仿宋_GB2312"/>
              </w:rPr>
              <w:t>提供针对本项目突发情况的应急保障措施，确保本项目高质量完成，方案详细、有针对性、可行性强，得3分；方案粗略、逻辑混乱、描述过于简单，得2分；方案与项目特点不匹配、套用其他项目方案、存在不可能实现的夸大情形或存在不适用项目实际情况的情形，得1分；未提供方案或只有标题没有实质性内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组织框架</w:t>
            </w:r>
          </w:p>
        </w:tc>
        <w:tc>
          <w:tcPr>
            <w:tcW w:type="dxa" w:w="2492"/>
          </w:tcPr>
          <w:p>
            <w:pPr>
              <w:pStyle w:val="null3"/>
            </w:pPr>
            <w:r>
              <w:rPr>
                <w:rFonts w:ascii="仿宋_GB2312" w:hAnsi="仿宋_GB2312" w:cs="仿宋_GB2312" w:eastAsia="仿宋_GB2312"/>
              </w:rPr>
              <w:t>针对本项目的组织架构进行说明， 包含 ①组织架构图：组织架构图内 容完整，科学合理，可行性强的，计3分；组织架构图方案内容存在欠缺不完善，可行性低，计2 分；组织架构图方案内容粗略，逻辑混乱，与本项目不匹配，计1分；未提供不得分。 ②人员配置：人员配置内容完整，科学合理，可 行性强的，计3分；人员配置方 案内容存在欠缺不完善，可行性，计2分；人员配置方案内容粗略，逻辑混乱，与本项目不匹配，计1分；未提供不得分。 ③岗位职责：岗位职责内容完整，科学合理，可行性强的，计3分；岗位 职责方案内容存在欠缺不完善，可行性低，计2分；岗位职责方案内容粗略，逻辑混乱，与本项目不匹配，计1分；未提供不得分。 ④协调机制：协调机制内容完整，科学合理，可行性强的，计3分；协调机制方案内容存在欠缺不完善，可行性低，计2分；协调机制方案内容粗略，逻辑混乱，与本项目不匹配，计1分；未提供不得分。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履约能力服务承诺</w:t>
            </w:r>
          </w:p>
        </w:tc>
        <w:tc>
          <w:tcPr>
            <w:tcW w:type="dxa" w:w="2492"/>
          </w:tcPr>
          <w:p>
            <w:pPr>
              <w:pStyle w:val="null3"/>
            </w:pPr>
            <w:r>
              <w:rPr>
                <w:rFonts w:ascii="仿宋_GB2312" w:hAnsi="仿宋_GB2312" w:cs="仿宋_GB2312" w:eastAsia="仿宋_GB2312"/>
              </w:rPr>
              <w:t>对供应商会前、会中、会后综合比较，提供项目执行过程中 ①任一阶段均可无条件配合及承担质量服务承诺：内容完整，科学合理，可行性强的，计2分；内容存在欠缺不完善，可行性低，计1.5分；内容粗略，逻辑混乱，与本项目不匹配，计0.5分；未提供不得分。 ②廉政等责任的承诺：内容完整，科学合理，可行性强的，计2分；内容存在欠缺不完善，可行性低，计1.5分；内容粗略，逻辑混乱，与本项目不匹配，计0.5分；未提供不得分。 ③未能完全履行承诺时愿意接受相关处罚的承诺 内容完整，科学合理，可行性强的，计2分；内容存在欠缺不完善，可行性低，计1.5分；内容粗略，逻辑混乱，与本项目不匹配，计0.5分；未提供不得分。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售后服务条款具体、可行并有详细的售后服务措施及承诺。内容完整，科学合理，可行性强的，计2分；内容存在欠缺不完善，可行性低，计1.5分；内容粗略，逻辑混乱，与本项目不匹配，计0.5分；未提供不得分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供应商能够提供详细的保障措施包含 ①能够考虑并满足采购人的多种需求，做好人员相关培训：内容完整，科学合理，可行性强的，计3分；内容存在欠缺不完善，可行性低，计2分；内容粗略，逻辑混乱，与本项目不匹配，计1 分；未提供不得分。 ②接受采购人对服务的监督、批评和建议：内容完整，科学合理，可行性强的，计3分；内容存在欠缺不完善，可行 性低，计2分；内容粗略，逻辑混乱，与本项目不匹配，计1分；未提供不得分。 ③确保做好各项服务管理、考评，不发生纠纷、安全等意外情况的保障措施：内容完整，科学合理，可行性强的，计3分；内容存在欠缺不完善，可行性低，计2分；内容粗略，逻辑混乱，与本项目不匹配，计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供应商提供2023年1月至今（以合同签订时间为准）类似项目业绩，每提供1个得2分，最多得10分。 业绩证明以磋商响应文件中的中标/成交通知书及合同复印件为准，须加盖公章。弄虚作假者取消其磋商、成交资格。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最后磋商报价为有效磋商报价，满足磋商文件要求且磋商价格最低的最后磋商报价为评标基准价,其价格分为满分10分。磋商报价不完整的，不进入评标标准价的计算，本项得0分。 2.价格分按照下列公式计算: 磋商报价得分=（评标基准价/最后磋商报价）×价格分值×100。 3.专门面向中小企业采购的项目或者采购包，不再执行价格评审优惠的扶持政策。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详见附件：【合同】欧亚经济论坛及西安会展环境招展招商推介活动.docx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