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AE50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类似项目业绩</w:t>
      </w:r>
    </w:p>
    <w:p w14:paraId="68E34435"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供应商提供2023年1月至今（以合同签订时间为准）类似项目业绩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</w:t>
      </w:r>
    </w:p>
    <w:p w14:paraId="0DB7F7F3"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业绩证明以磋商响应文件中的中标/成交通知书及合同复印件为准，须加盖公章。弄虚作假者取消其磋商、成交资格。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91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2026-04-28T04:38:22Z</dcterms:created>
  <dc:creator>Administrator</dc:creator>
  <cp:lastModifiedBy>acer</cp:lastModifiedBy>
  <dcterms:modified xsi:type="dcterms:W3CDTF">2026-04-28T04:39:38Z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eyJoZGlkIjoiNjVkYzIxNjY1MjcyMjExZjQ0NjQ2ZDQ5ZjhlMGRkZDUiLCJ1c2VySWQiOiIyNDc5ODM4ODIifQ==</vt:lpwstr>
  </property>
  <property fmtid="{D5CDD505-2E9C-101B-9397-08002B2CF9AE}" pid="4" name="ICV">
    <vt:lpwstr>F74685EEC5DC4AD291411AF74BDA7E6A_12</vt:lpwstr>
  </property>
</Properties>
</file>