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版本号：SXZY-2026-ZC-118720260827001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第二届“西安丝路老字号”嘉年华项目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SXZY-2026-ZC-1187</w:t>
      </w:r>
      <w:r>
        <w:br/>
      </w:r>
      <w:r>
        <w:br/>
      </w:r>
      <w:r>
        <w:br/>
      </w:r>
    </w:p>
    <w:p>
      <w:pPr>
        <w:pStyle w:val="null3"/>
        <w:jc w:val="center"/>
        <w:outlineLvl w:val="2"/>
      </w:pPr>
      <w:r>
        <w:rPr>
          <w:rFonts w:ascii="仿宋_GB2312" w:hAnsi="仿宋_GB2312" w:cs="仿宋_GB2312" w:eastAsia="仿宋_GB2312"/>
          <w:sz w:val="28"/>
          <w:b/>
        </w:rPr>
        <w:t>西安市商务局（本级）</w:t>
      </w:r>
    </w:p>
    <w:p>
      <w:pPr>
        <w:pStyle w:val="null3"/>
        <w:jc w:val="center"/>
        <w:outlineLvl w:val="2"/>
      </w:pPr>
      <w:r>
        <w:rPr>
          <w:rFonts w:ascii="仿宋_GB2312" w:hAnsi="仿宋_GB2312" w:cs="仿宋_GB2312" w:eastAsia="仿宋_GB2312"/>
          <w:sz w:val="28"/>
          <w:b/>
        </w:rPr>
        <w:t>陕西中仪项目管理有限公司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陕西中仪项目管理有限公司</w:t>
      </w:r>
      <w:r>
        <w:rPr>
          <w:rFonts w:ascii="仿宋_GB2312" w:hAnsi="仿宋_GB2312" w:cs="仿宋_GB2312" w:eastAsia="仿宋_GB2312"/>
        </w:rPr>
        <w:t>（以下简称“代理机构”）受</w:t>
      </w:r>
      <w:r>
        <w:rPr>
          <w:rFonts w:ascii="仿宋_GB2312" w:hAnsi="仿宋_GB2312" w:cs="仿宋_GB2312" w:eastAsia="仿宋_GB2312"/>
        </w:rPr>
        <w:t>西安市商务局（本级）</w:t>
      </w:r>
      <w:r>
        <w:rPr>
          <w:rFonts w:ascii="仿宋_GB2312" w:hAnsi="仿宋_GB2312" w:cs="仿宋_GB2312" w:eastAsia="仿宋_GB2312"/>
        </w:rPr>
        <w:t>委托，拟对</w:t>
      </w:r>
      <w:r>
        <w:rPr>
          <w:rFonts w:ascii="仿宋_GB2312" w:hAnsi="仿宋_GB2312" w:cs="仿宋_GB2312" w:eastAsia="仿宋_GB2312"/>
        </w:rPr>
        <w:t>第二届“西安丝路老字号”嘉年华项目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SXZY-2026-ZC-1187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第二届“西安丝路老字号”嘉年华项目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本活动作为“西悦购•趣长安”2026年西安提振消费系列活动重要组成部分，拟于2026年9月，邀请全国老字号与西安老字号知名品牌汇聚西安，开展为期3天的促消费活动。</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采购包1（第二届“西安丝路老字号”嘉年华项目）：属于专门面向中小企业采购。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在中华人民共和国境内注册，依法取得并有效存续的营业执照（含电子营业执照）\事业单位法人证书\民办非企业单位登记证书\非企业专业服务机构执业许可证等。供应商需在项目电子化交易系统中按要求上传相应证明文件并进行电子签章。</w:t>
      </w:r>
    </w:p>
    <w:p>
      <w:pPr>
        <w:pStyle w:val="null3"/>
      </w:pPr>
      <w:r>
        <w:rPr>
          <w:rFonts w:ascii="仿宋_GB2312" w:hAnsi="仿宋_GB2312" w:cs="仿宋_GB2312" w:eastAsia="仿宋_GB2312"/>
        </w:rPr>
        <w:t>2、社保资金缴纳证明：提交社保资金所属日期在递交响应文件截止时间前一年内任意一个月的社会保障资金缴存单据或社保机构开具的社会保险参保缴费情况证明，单据或证明上应有社保机构或代收机构的公章或业务专用章。供应商需在项目电子化交易系统中按要求上传相应证明文件并进行电子签章。</w:t>
      </w:r>
    </w:p>
    <w:p>
      <w:pPr>
        <w:pStyle w:val="null3"/>
      </w:pPr>
      <w:r>
        <w:rPr>
          <w:rFonts w:ascii="仿宋_GB2312" w:hAnsi="仿宋_GB2312" w:cs="仿宋_GB2312" w:eastAsia="仿宋_GB2312"/>
        </w:rPr>
        <w:t>3、税收缴纳证明：提交税款所属日期在递交响应文件截止时间前一年内任意一个月的纳税证明或完税证明，纳税证明或完税证明上应有代收机构或税务机关的公章或业务专用章。供应商需在项目电子化交易系统中按要求上传相应证明文件并进行电子签章。</w:t>
      </w:r>
    </w:p>
    <w:p>
      <w:pPr>
        <w:pStyle w:val="null3"/>
      </w:pPr>
      <w:r>
        <w:rPr>
          <w:rFonts w:ascii="仿宋_GB2312" w:hAnsi="仿宋_GB2312" w:cs="仿宋_GB2312" w:eastAsia="仿宋_GB2312"/>
        </w:rPr>
        <w:t>4、无重大违法记录声明：参加政府采购活动前3年内在经营活动中没有重大违法记录的书面声明。供应商需在项目电子化交易系统中按要求填写《响应函》完成承诺并进行电子签章。</w:t>
      </w:r>
    </w:p>
    <w:p>
      <w:pPr>
        <w:pStyle w:val="null3"/>
      </w:pPr>
      <w:r>
        <w:rPr>
          <w:rFonts w:ascii="仿宋_GB2312" w:hAnsi="仿宋_GB2312" w:cs="仿宋_GB2312" w:eastAsia="仿宋_GB2312"/>
        </w:rPr>
        <w:t>5、履约能力承诺：提交具有履行合同所必需的设备和专业技术能力的承诺函。供应商需在项目电子化交易系统中按要求填写《响应函》完成承诺并进行电子签章。</w:t>
      </w:r>
    </w:p>
    <w:p>
      <w:pPr>
        <w:pStyle w:val="null3"/>
      </w:pPr>
      <w:r>
        <w:rPr>
          <w:rFonts w:ascii="仿宋_GB2312" w:hAnsi="仿宋_GB2312" w:cs="仿宋_GB2312" w:eastAsia="仿宋_GB2312"/>
        </w:rPr>
        <w:t>6、法定代表人（主要负责人）委托授权书\身份证明：法定代表人（主要负责人）委托代理人参加磋商时，应提供法定代表人（主要负责人）身份证明书及法定代表人（主要负责人）委托授权书；法定代表人（主要负责人）亲自参加磋商时，应提供法定代表人（主要负责人）身份证明书。供应商需在项目电子化交易系统中按要求上传相应证明文件并进行电子签章。</w:t>
      </w:r>
    </w:p>
    <w:p>
      <w:pPr>
        <w:pStyle w:val="null3"/>
      </w:pPr>
      <w:r>
        <w:rPr>
          <w:rFonts w:ascii="仿宋_GB2312" w:hAnsi="仿宋_GB2312" w:cs="仿宋_GB2312" w:eastAsia="仿宋_GB2312"/>
        </w:rPr>
        <w:t>7、信用记录查询结果：供应商不得为信用中国”网站（www.creditchina.gov.cn）中重大税收违法失信主体名单的供应商，不得为“信用中国”网站（www.creditchina.gov.cn）中列入失信被执行人的供应商，不得为“中国政府采购网”网站（www.ccgp.gov.cn）政府采购严重违法失信行为记录名单中被财政部门禁止参加政府采购活动的供应商。</w:t>
      </w:r>
    </w:p>
    <w:p>
      <w:pPr>
        <w:pStyle w:val="null3"/>
      </w:pPr>
      <w:r>
        <w:rPr>
          <w:rFonts w:ascii="仿宋_GB2312" w:hAnsi="仿宋_GB2312" w:cs="仿宋_GB2312" w:eastAsia="仿宋_GB2312"/>
        </w:rPr>
        <w:t>8、非联合体磋商声明：提交非联合体形式参加本项目磋商的声明函。供应商需在项目电子化交易系统中按要求上传相应证明文件并进行电子签章。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西安市商务局（本级）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西安市未央区凤城八路109号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史宏斌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67096531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陕西中仪项目管理有限公司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陕西省西安市曲江新区曲江池西路369号34幢10101室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范工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85500589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招标代理服务收费管理暂行办法》和《关于招标代理服务收费有关问题的通知》的有关规定执行。成交单位在领取成交通知书前，须向采购代理机构一次性支付代理服务费。户名：陕西中仪项目管 理有限公司 开户行：中国银行股份有限公司西安雁展路支行 账号：102496214855</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西安市商务局（本级）</w:t>
      </w:r>
      <w:r>
        <w:rPr>
          <w:rFonts w:ascii="仿宋_GB2312" w:hAnsi="仿宋_GB2312" w:cs="仿宋_GB2312" w:eastAsia="仿宋_GB2312"/>
        </w:rPr>
        <w:t>和</w:t>
      </w:r>
      <w:r>
        <w:rPr>
          <w:rFonts w:ascii="仿宋_GB2312" w:hAnsi="仿宋_GB2312" w:cs="仿宋_GB2312" w:eastAsia="仿宋_GB2312"/>
        </w:rPr>
        <w:t>陕西中仪项目管理有限公司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西安市商务局（本级）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陕西中仪项目管理有限公司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西安市商务局（本级）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陕西中仪项目管理有限公司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按磋商文件、磋商响应文件等服务指标进行逐项验收，各项指标均应符合验收标准及要求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陕西中仪项目管理有限公司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陕西中仪项目管理有限公司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陕西中仪项目管理有限公司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联系人：范工</w:t>
      </w:r>
    </w:p>
    <w:p>
      <w:pPr>
        <w:pStyle w:val="null3"/>
      </w:pPr>
      <w:r>
        <w:rPr>
          <w:rFonts w:ascii="仿宋_GB2312" w:hAnsi="仿宋_GB2312" w:cs="仿宋_GB2312" w:eastAsia="仿宋_GB2312"/>
        </w:rPr>
        <w:t>联系电话：029-85500589</w:t>
      </w:r>
    </w:p>
    <w:p>
      <w:pPr>
        <w:pStyle w:val="null3"/>
      </w:pPr>
      <w:r>
        <w:rPr>
          <w:rFonts w:ascii="仿宋_GB2312" w:hAnsi="仿宋_GB2312" w:cs="仿宋_GB2312" w:eastAsia="仿宋_GB2312"/>
        </w:rPr>
        <w:t>地址：陕西省西安市曲江新区曲江池西路369号34幢10101室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本活动作为“西悦购•趣长安”2026年西安提振消费系列活动重要组成部分，拟于2026年9月，邀请全国老字号与西安老字号知名品牌汇聚西安，开展为期3天的促消费活动。</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1,200,000.00</w:t>
      </w:r>
    </w:p>
    <w:p>
      <w:pPr>
        <w:pStyle w:val="null3"/>
      </w:pPr>
      <w:r>
        <w:rPr>
          <w:rFonts w:ascii="仿宋_GB2312" w:hAnsi="仿宋_GB2312" w:cs="仿宋_GB2312" w:eastAsia="仿宋_GB2312"/>
        </w:rPr>
        <w:t>采购包最高限价（元）: 1,200,000.00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第二届西安丝路老字号嘉年华</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标的名称：第二届西安丝路老字号嘉年华</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一、项目概况</w:t>
            </w:r>
          </w:p>
          <w:p>
            <w:pPr>
              <w:pStyle w:val="null3"/>
              <w:ind w:firstLine="400"/>
            </w:pPr>
            <w:r>
              <w:rPr>
                <w:rFonts w:ascii="仿宋_GB2312" w:hAnsi="仿宋_GB2312" w:cs="仿宋_GB2312" w:eastAsia="仿宋_GB2312"/>
              </w:rPr>
              <w:t>本活动作为“西悦购·趣长安”2026年西安提振消费系列活动重要组成部分，拟于2026年9月，邀请全国老字号与西安老字号知名品牌汇聚西安，开展为期3天的促消费活动。</w:t>
            </w:r>
          </w:p>
          <w:p>
            <w:pPr>
              <w:pStyle w:val="null3"/>
            </w:pPr>
            <w:r>
              <w:rPr>
                <w:rFonts w:ascii="仿宋_GB2312" w:hAnsi="仿宋_GB2312" w:cs="仿宋_GB2312" w:eastAsia="仿宋_GB2312"/>
                <w:b/>
              </w:rPr>
              <w:t>二、服务内容</w:t>
            </w:r>
          </w:p>
          <w:p>
            <w:pPr>
              <w:pStyle w:val="null3"/>
              <w:ind w:firstLine="400"/>
            </w:pPr>
            <w:r>
              <w:rPr>
                <w:rFonts w:ascii="仿宋_GB2312" w:hAnsi="仿宋_GB2312" w:cs="仿宋_GB2312" w:eastAsia="仿宋_GB2312"/>
              </w:rPr>
              <w:t>1、根据第二届“西安丝路老字号”嘉年华活动会场情况进行会场策划、设计、搭建，不少于100个展位的展销区；</w:t>
            </w:r>
          </w:p>
          <w:p>
            <w:pPr>
              <w:pStyle w:val="null3"/>
              <w:ind w:firstLine="400"/>
            </w:pPr>
            <w:r>
              <w:rPr>
                <w:rFonts w:ascii="仿宋_GB2312" w:hAnsi="仿宋_GB2312" w:cs="仿宋_GB2312" w:eastAsia="仿宋_GB2312"/>
              </w:rPr>
              <w:t>2、根据大会时间安排，合理开展现场活动及氛围营造；</w:t>
            </w:r>
          </w:p>
          <w:p>
            <w:pPr>
              <w:pStyle w:val="null3"/>
              <w:ind w:firstLine="400"/>
            </w:pPr>
            <w:r>
              <w:rPr>
                <w:rFonts w:ascii="仿宋_GB2312" w:hAnsi="仿宋_GB2312" w:cs="仿宋_GB2312" w:eastAsia="仿宋_GB2312"/>
              </w:rPr>
              <w:t>3、根据活动要求，面向全国邀请老字号与西安老字号知名品牌参展；</w:t>
            </w:r>
          </w:p>
          <w:p>
            <w:pPr>
              <w:pStyle w:val="null3"/>
              <w:ind w:firstLine="400"/>
            </w:pPr>
            <w:r>
              <w:rPr>
                <w:rFonts w:ascii="仿宋_GB2312" w:hAnsi="仿宋_GB2312" w:cs="仿宋_GB2312" w:eastAsia="仿宋_GB2312"/>
              </w:rPr>
              <w:t>4、根据实际需要，合理安排各地嘉宾交通、住宿等会务配套服务；</w:t>
            </w:r>
          </w:p>
          <w:p>
            <w:pPr>
              <w:pStyle w:val="null3"/>
              <w:ind w:firstLine="400"/>
            </w:pPr>
            <w:r>
              <w:rPr>
                <w:rFonts w:ascii="仿宋_GB2312" w:hAnsi="仿宋_GB2312" w:cs="仿宋_GB2312" w:eastAsia="仿宋_GB2312"/>
              </w:rPr>
              <w:t>5、根据活动内容，制作相关宣传物料。需充分考虑宣传物料的文化感、设计感与材质，内容需紧扣主题；</w:t>
            </w:r>
          </w:p>
          <w:p>
            <w:pPr>
              <w:pStyle w:val="null3"/>
            </w:pPr>
            <w:r>
              <w:rPr>
                <w:rFonts w:ascii="仿宋_GB2312" w:hAnsi="仿宋_GB2312" w:cs="仿宋_GB2312" w:eastAsia="仿宋_GB2312"/>
                <w:b/>
              </w:rPr>
              <w:t>三、技术要求</w:t>
            </w:r>
          </w:p>
          <w:p>
            <w:pPr>
              <w:pStyle w:val="null3"/>
              <w:ind w:firstLine="400"/>
            </w:pPr>
            <w:r>
              <w:rPr>
                <w:rFonts w:ascii="仿宋_GB2312" w:hAnsi="仿宋_GB2312" w:cs="仿宋_GB2312" w:eastAsia="仿宋_GB2312"/>
              </w:rPr>
              <w:t>具有全国老字号及西安老字号邀约能力，具备类似活动策划、组织、服务及宣传能力，提供营业执照。</w:t>
            </w:r>
          </w:p>
          <w:p>
            <w:pPr>
              <w:pStyle w:val="null3"/>
            </w:pPr>
            <w:r>
              <w:rPr>
                <w:rFonts w:ascii="仿宋_GB2312" w:hAnsi="仿宋_GB2312" w:cs="仿宋_GB2312" w:eastAsia="仿宋_GB2312"/>
                <w:b/>
              </w:rPr>
              <w:t>四、服务要求</w:t>
            </w:r>
          </w:p>
          <w:p>
            <w:pPr>
              <w:pStyle w:val="null3"/>
              <w:ind w:firstLine="400"/>
            </w:pPr>
            <w:r>
              <w:rPr>
                <w:rFonts w:ascii="仿宋_GB2312" w:hAnsi="仿宋_GB2312" w:cs="仿宋_GB2312" w:eastAsia="仿宋_GB2312"/>
              </w:rPr>
              <w:t>1、具有会展规划设计人员、搭建人员、会场服务人员、策划宣传人员等 ；</w:t>
            </w:r>
          </w:p>
          <w:p>
            <w:pPr>
              <w:pStyle w:val="null3"/>
              <w:ind w:firstLine="400"/>
            </w:pPr>
            <w:r>
              <w:rPr>
                <w:rFonts w:ascii="仿宋_GB2312" w:hAnsi="仿宋_GB2312" w:cs="仿宋_GB2312" w:eastAsia="仿宋_GB2312"/>
              </w:rPr>
              <w:t>2、有固定的办公场所和必要的设施条件；</w:t>
            </w:r>
          </w:p>
          <w:p>
            <w:pPr>
              <w:pStyle w:val="null3"/>
              <w:ind w:firstLine="400"/>
            </w:pPr>
            <w:r>
              <w:rPr>
                <w:rFonts w:ascii="仿宋_GB2312" w:hAnsi="仿宋_GB2312" w:cs="仿宋_GB2312" w:eastAsia="仿宋_GB2312"/>
              </w:rPr>
              <w:t>3、材料真实性承诺书；</w:t>
            </w:r>
          </w:p>
          <w:p>
            <w:pPr>
              <w:pStyle w:val="null3"/>
              <w:ind w:firstLine="400"/>
            </w:pPr>
            <w:r>
              <w:rPr>
                <w:rFonts w:ascii="仿宋_GB2312" w:hAnsi="仿宋_GB2312" w:cs="仿宋_GB2312" w:eastAsia="仿宋_GB2312"/>
              </w:rPr>
              <w:t>4、供应商提供服务过程中，不得借机推销其他业务或者设备，不得向涉及企业收取费用，项目结束后不得再以委托方名义进行商业活动。</w:t>
            </w:r>
          </w:p>
          <w:p>
            <w:pPr>
              <w:pStyle w:val="null3"/>
            </w:pPr>
            <w:r>
              <w:rPr>
                <w:rFonts w:ascii="仿宋_GB2312" w:hAnsi="仿宋_GB2312" w:cs="仿宋_GB2312" w:eastAsia="仿宋_GB2312"/>
                <w:b/>
              </w:rPr>
              <w:t>五、商务要求</w:t>
            </w:r>
          </w:p>
          <w:p>
            <w:pPr>
              <w:pStyle w:val="null3"/>
              <w:ind w:firstLine="400"/>
            </w:pPr>
            <w:r>
              <w:rPr>
                <w:rFonts w:ascii="仿宋_GB2312" w:hAnsi="仿宋_GB2312" w:cs="仿宋_GB2312" w:eastAsia="仿宋_GB2312"/>
              </w:rPr>
              <w:t>（一）服务期限：自合同签订之日起至完成所有活动项目内容。</w:t>
            </w:r>
          </w:p>
          <w:p>
            <w:pPr>
              <w:pStyle w:val="null3"/>
              <w:ind w:firstLine="400"/>
            </w:pPr>
            <w:r>
              <w:rPr>
                <w:rFonts w:ascii="仿宋_GB2312" w:hAnsi="仿宋_GB2312" w:cs="仿宋_GB2312" w:eastAsia="仿宋_GB2312"/>
              </w:rPr>
              <w:t>（二）服务地点：采购人指定地点</w:t>
            </w:r>
          </w:p>
          <w:p>
            <w:pPr>
              <w:pStyle w:val="null3"/>
              <w:ind w:firstLine="400"/>
            </w:pPr>
            <w:r>
              <w:rPr>
                <w:rFonts w:ascii="仿宋_GB2312" w:hAnsi="仿宋_GB2312" w:cs="仿宋_GB2312" w:eastAsia="仿宋_GB2312"/>
              </w:rPr>
              <w:t>（三）款项结算</w:t>
            </w:r>
          </w:p>
          <w:p>
            <w:pPr>
              <w:pStyle w:val="null3"/>
              <w:ind w:firstLine="400"/>
            </w:pPr>
            <w:r>
              <w:rPr>
                <w:rFonts w:ascii="仿宋_GB2312" w:hAnsi="仿宋_GB2312" w:cs="仿宋_GB2312" w:eastAsia="仿宋_GB2312"/>
              </w:rPr>
              <w:t>合同签订后十五个工作日支付50%合同款；活动结束且验收合格后，收到供应商提供的合规发票15个工作日内支付其余50%合同价款。</w:t>
            </w:r>
          </w:p>
          <w:p>
            <w:pPr>
              <w:pStyle w:val="null3"/>
            </w:pPr>
            <w:r>
              <w:rPr>
                <w:rFonts w:ascii="仿宋_GB2312" w:hAnsi="仿宋_GB2312" w:cs="仿宋_GB2312" w:eastAsia="仿宋_GB2312"/>
                <w:b/>
              </w:rPr>
              <w:t>六、其他</w:t>
            </w:r>
          </w:p>
          <w:p>
            <w:pPr>
              <w:pStyle w:val="null3"/>
              <w:ind w:firstLine="400"/>
            </w:pPr>
            <w:r>
              <w:rPr>
                <w:rFonts w:ascii="仿宋_GB2312" w:hAnsi="仿宋_GB2312" w:cs="仿宋_GB2312" w:eastAsia="仿宋_GB2312"/>
              </w:rPr>
              <w:t>（一）对服务商的业绩要求</w:t>
            </w:r>
          </w:p>
          <w:p>
            <w:pPr>
              <w:pStyle w:val="null3"/>
              <w:ind w:firstLine="400"/>
            </w:pPr>
            <w:r>
              <w:rPr>
                <w:rFonts w:ascii="仿宋_GB2312" w:hAnsi="仿宋_GB2312" w:cs="仿宋_GB2312" w:eastAsia="仿宋_GB2312"/>
              </w:rPr>
              <w:t>优先选择具有为政府相关单位提供会展搭建项目、会场服务、策划宣传项目业绩的企业（提供合同等佐证材料）；</w:t>
            </w:r>
          </w:p>
          <w:p>
            <w:pPr>
              <w:pStyle w:val="null3"/>
              <w:ind w:firstLine="400"/>
            </w:pPr>
            <w:r>
              <w:rPr>
                <w:rFonts w:ascii="仿宋_GB2312" w:hAnsi="仿宋_GB2312" w:cs="仿宋_GB2312" w:eastAsia="仿宋_GB2312"/>
              </w:rPr>
              <w:t>（二）质量保证</w:t>
            </w:r>
          </w:p>
          <w:p>
            <w:pPr>
              <w:pStyle w:val="null3"/>
              <w:ind w:firstLine="400"/>
            </w:pPr>
            <w:r>
              <w:rPr>
                <w:rFonts w:ascii="仿宋_GB2312" w:hAnsi="仿宋_GB2312" w:cs="仿宋_GB2312" w:eastAsia="仿宋_GB2312"/>
              </w:rPr>
              <w:t>1.活动策划兼具专业、人文、综合、时尚与协调特性。</w:t>
            </w:r>
          </w:p>
          <w:p>
            <w:pPr>
              <w:pStyle w:val="null3"/>
              <w:ind w:firstLine="400"/>
            </w:pPr>
            <w:r>
              <w:rPr>
                <w:rFonts w:ascii="仿宋_GB2312" w:hAnsi="仿宋_GB2312" w:cs="仿宋_GB2312" w:eastAsia="仿宋_GB2312"/>
              </w:rPr>
              <w:t>2.活动服务遵循标准化、规范化流程。</w:t>
            </w:r>
          </w:p>
          <w:p>
            <w:pPr>
              <w:pStyle w:val="null3"/>
              <w:ind w:firstLine="400"/>
            </w:pPr>
            <w:r>
              <w:rPr>
                <w:rFonts w:ascii="仿宋_GB2312" w:hAnsi="仿宋_GB2312" w:cs="仿宋_GB2312" w:eastAsia="仿宋_GB2312"/>
              </w:rPr>
              <w:t>3.确保设计与实际搭建展示效果相符，在规定搭建布置时间内进场施工，按时完工且工程质量达标。</w:t>
            </w:r>
          </w:p>
          <w:p>
            <w:pPr>
              <w:pStyle w:val="null3"/>
              <w:ind w:firstLine="400"/>
            </w:pPr>
            <w:r>
              <w:rPr>
                <w:rFonts w:ascii="仿宋_GB2312" w:hAnsi="仿宋_GB2312" w:cs="仿宋_GB2312" w:eastAsia="仿宋_GB2312"/>
              </w:rPr>
              <w:t>4.搭建材料须合格，严禁劣质材料。供应商需出具推介会场及展示区域搭建安全承诺书，推介活动全程安全责任自负，采购人免责。</w:t>
            </w:r>
          </w:p>
          <w:p>
            <w:pPr>
              <w:pStyle w:val="null3"/>
              <w:ind w:firstLine="400"/>
            </w:pPr>
            <w:r>
              <w:rPr>
                <w:rFonts w:ascii="仿宋_GB2312" w:hAnsi="仿宋_GB2312" w:cs="仿宋_GB2312" w:eastAsia="仿宋_GB2312"/>
              </w:rPr>
              <w:t>5.中标供应商严禁转包、分包项目，应组建骨干技术团队，建立严格质量管理体系，规范作业，保障服务质量。</w:t>
            </w:r>
          </w:p>
          <w:p>
            <w:pPr>
              <w:pStyle w:val="null3"/>
              <w:ind w:firstLine="400"/>
            </w:pPr>
            <w:r>
              <w:rPr>
                <w:rFonts w:ascii="仿宋_GB2312" w:hAnsi="仿宋_GB2312" w:cs="仿宋_GB2312" w:eastAsia="仿宋_GB2312"/>
              </w:rPr>
              <w:t>（三）验收要求</w:t>
            </w:r>
          </w:p>
          <w:p>
            <w:pPr>
              <w:pStyle w:val="null3"/>
              <w:ind w:firstLine="400"/>
            </w:pPr>
            <w:r>
              <w:rPr>
                <w:rFonts w:ascii="仿宋_GB2312" w:hAnsi="仿宋_GB2312" w:cs="仿宋_GB2312" w:eastAsia="仿宋_GB2312"/>
              </w:rPr>
              <w:t>1.服务期满后按照成交供应商所提供的资料及数据进行验收；</w:t>
            </w:r>
          </w:p>
          <w:p>
            <w:pPr>
              <w:pStyle w:val="null3"/>
              <w:ind w:firstLine="400"/>
            </w:pPr>
            <w:r>
              <w:rPr>
                <w:rFonts w:ascii="仿宋_GB2312" w:hAnsi="仿宋_GB2312" w:cs="仿宋_GB2312" w:eastAsia="仿宋_GB2312"/>
              </w:rPr>
              <w:t>2.最终验收：自合同签订之日起至完成全部项目内容，需按照采购人确定的时间完成交付并验收合格。</w:t>
            </w:r>
          </w:p>
          <w:p>
            <w:pPr>
              <w:pStyle w:val="null3"/>
              <w:ind w:firstLine="400"/>
            </w:pPr>
            <w:r>
              <w:rPr>
                <w:rFonts w:ascii="仿宋_GB2312" w:hAnsi="仿宋_GB2312" w:cs="仿宋_GB2312" w:eastAsia="仿宋_GB2312"/>
              </w:rPr>
              <w:t>3.验收和评价方式</w:t>
            </w:r>
          </w:p>
          <w:p>
            <w:pPr>
              <w:pStyle w:val="null3"/>
              <w:ind w:firstLine="400"/>
            </w:pPr>
            <w:r>
              <w:rPr>
                <w:rFonts w:ascii="仿宋_GB2312" w:hAnsi="仿宋_GB2312" w:cs="仿宋_GB2312" w:eastAsia="仿宋_GB2312"/>
              </w:rPr>
              <w:t>3.1  乙方提供的服务最终验收达不到磋商文件要求和磋商响应文件承诺及国家或行业标准，或在使用中发现甲方不能容忍的缺陷等，将视为验收不合格，乙方应在甲方要求的时间内无条件完善或赔付采购人损失。</w:t>
            </w:r>
          </w:p>
          <w:p>
            <w:pPr>
              <w:pStyle w:val="null3"/>
              <w:ind w:firstLine="400"/>
            </w:pPr>
            <w:r>
              <w:rPr>
                <w:rFonts w:ascii="仿宋_GB2312" w:hAnsi="仿宋_GB2312" w:cs="仿宋_GB2312" w:eastAsia="仿宋_GB2312"/>
              </w:rPr>
              <w:t>3.2  若发现乙方有弄虚作假的，及在项目实施阶段故意或随意夸大服务，本项目合同解除，乙方赔偿甲方相应的损失。</w:t>
            </w:r>
          </w:p>
          <w:p>
            <w:pPr>
              <w:pStyle w:val="null3"/>
              <w:ind w:firstLine="400"/>
            </w:pPr>
            <w:r>
              <w:rPr>
                <w:rFonts w:ascii="仿宋_GB2312" w:hAnsi="仿宋_GB2312" w:cs="仿宋_GB2312" w:eastAsia="仿宋_GB2312"/>
              </w:rPr>
              <w:t>3.3  验收标准：按磋商文件、磋商响应文件等服务指标进行逐项验收，各项指标均应符合验收标准及要求。</w:t>
            </w:r>
          </w:p>
          <w:p>
            <w:pPr>
              <w:pStyle w:val="null3"/>
              <w:ind w:firstLine="400"/>
            </w:pPr>
            <w:r>
              <w:rPr>
                <w:rFonts w:ascii="仿宋_GB2312" w:hAnsi="仿宋_GB2312" w:cs="仿宋_GB2312" w:eastAsia="仿宋_GB2312"/>
              </w:rPr>
              <w:t>3.4  验收合格后，填写验收单，双方盖章、签字生效。</w:t>
            </w:r>
          </w:p>
          <w:p>
            <w:pPr>
              <w:pStyle w:val="null3"/>
              <w:ind w:firstLine="400"/>
            </w:pPr>
            <w:r>
              <w:rPr>
                <w:rFonts w:ascii="仿宋_GB2312" w:hAnsi="仿宋_GB2312" w:cs="仿宋_GB2312" w:eastAsia="仿宋_GB2312"/>
              </w:rPr>
              <w:t>3.5  验收依据</w:t>
            </w:r>
          </w:p>
          <w:p>
            <w:pPr>
              <w:pStyle w:val="null3"/>
              <w:ind w:firstLine="400"/>
            </w:pPr>
            <w:r>
              <w:rPr>
                <w:rFonts w:ascii="仿宋_GB2312" w:hAnsi="仿宋_GB2312" w:cs="仿宋_GB2312" w:eastAsia="仿宋_GB2312"/>
              </w:rPr>
              <w:t>3.5.1  合同文本</w:t>
            </w:r>
          </w:p>
          <w:p>
            <w:pPr>
              <w:pStyle w:val="null3"/>
              <w:ind w:firstLine="400"/>
            </w:pPr>
            <w:r>
              <w:rPr>
                <w:rFonts w:ascii="仿宋_GB2312" w:hAnsi="仿宋_GB2312" w:cs="仿宋_GB2312" w:eastAsia="仿宋_GB2312"/>
              </w:rPr>
              <w:t>3.5.2  磋商响应文件、磋商文件、澄清函。</w:t>
            </w:r>
          </w:p>
          <w:p>
            <w:pPr>
              <w:pStyle w:val="null3"/>
              <w:ind w:firstLine="400"/>
            </w:pPr>
            <w:r>
              <w:rPr>
                <w:rFonts w:ascii="仿宋_GB2312" w:hAnsi="仿宋_GB2312" w:cs="仿宋_GB2312" w:eastAsia="仿宋_GB2312"/>
              </w:rPr>
              <w:t>3.5.3  国家和行业制定的相应的标准和规范。</w:t>
            </w:r>
          </w:p>
          <w:p>
            <w:pPr>
              <w:pStyle w:val="null3"/>
              <w:ind w:firstLine="400"/>
            </w:pPr>
            <w:r>
              <w:rPr>
                <w:rFonts w:ascii="仿宋_GB2312" w:hAnsi="仿宋_GB2312" w:cs="仿宋_GB2312" w:eastAsia="仿宋_GB2312"/>
              </w:rPr>
              <w:t>（四）保密条款</w:t>
            </w:r>
          </w:p>
          <w:p>
            <w:pPr>
              <w:pStyle w:val="null3"/>
              <w:ind w:firstLine="400"/>
            </w:pPr>
            <w:r>
              <w:rPr>
                <w:rFonts w:ascii="仿宋_GB2312" w:hAnsi="仿宋_GB2312" w:cs="仿宋_GB2312" w:eastAsia="仿宋_GB2312"/>
              </w:rPr>
              <w:t>任何一方在未获得对方书面允许的情况下，均不应向任何第三方披露或提供从合作方取得的展会相关资料。</w:t>
            </w:r>
          </w:p>
          <w:p>
            <w:pPr>
              <w:pStyle w:val="null3"/>
              <w:ind w:firstLine="400"/>
            </w:pPr>
            <w:r>
              <w:rPr>
                <w:rFonts w:ascii="仿宋_GB2312" w:hAnsi="仿宋_GB2312" w:cs="仿宋_GB2312" w:eastAsia="仿宋_GB2312"/>
              </w:rPr>
              <w:t>（五）违约责任</w:t>
            </w:r>
          </w:p>
          <w:p>
            <w:pPr>
              <w:pStyle w:val="null3"/>
              <w:ind w:firstLine="400"/>
            </w:pPr>
            <w:r>
              <w:rPr>
                <w:rFonts w:ascii="仿宋_GB2312" w:hAnsi="仿宋_GB2312" w:cs="仿宋_GB2312" w:eastAsia="仿宋_GB2312"/>
              </w:rPr>
              <w:t>1.按《民法典》中的相关条款执行。</w:t>
            </w:r>
          </w:p>
          <w:p>
            <w:pPr>
              <w:pStyle w:val="null3"/>
              <w:ind w:firstLine="400"/>
            </w:pPr>
            <w:r>
              <w:rPr>
                <w:rFonts w:ascii="仿宋_GB2312" w:hAnsi="仿宋_GB2312" w:cs="仿宋_GB2312" w:eastAsia="仿宋_GB2312"/>
              </w:rPr>
              <w:t>2.乙方未按协议要求提供服务或服务质量不能满足协议要求的，甲方应当将供应商违约的情况以及拟采取的措施以书面形式报政府采购监管部门，根据政府采购监管部门的处理意见，甲方有权依据《民法典》有关条款及合同约定终止合同，并要求乙方承担违约责任。同时，政府采购监管部门有权依据《政府采购法》及相关法律法规对乙方的违法行为进行相应的处罚。</w:t>
            </w:r>
          </w:p>
          <w:p>
            <w:pPr>
              <w:pStyle w:val="null3"/>
              <w:ind w:firstLine="400"/>
            </w:pPr>
            <w:r>
              <w:rPr>
                <w:rFonts w:ascii="仿宋_GB2312" w:hAnsi="仿宋_GB2312" w:cs="仿宋_GB2312" w:eastAsia="仿宋_GB2312"/>
              </w:rPr>
              <w:t>3.由于不可抗力因素造成无法按照原计划提供服务，双方互不追究违约责任。</w:t>
            </w:r>
          </w:p>
          <w:p>
            <w:pPr>
              <w:pStyle w:val="null3"/>
              <w:ind w:firstLine="400"/>
            </w:pPr>
            <w:r>
              <w:rPr>
                <w:rFonts w:ascii="仿宋_GB2312" w:hAnsi="仿宋_GB2312" w:cs="仿宋_GB2312" w:eastAsia="仿宋_GB2312"/>
              </w:rPr>
              <w:t>4.如有异议另行协商。</w:t>
            </w:r>
          </w:p>
          <w:p>
            <w:pPr>
              <w:pStyle w:val="null3"/>
            </w:pPr>
            <w:r>
              <w:rPr>
                <w:rFonts w:ascii="仿宋_GB2312" w:hAnsi="仿宋_GB2312" w:cs="仿宋_GB2312" w:eastAsia="仿宋_GB2312"/>
                <w:b/>
              </w:rPr>
              <w:t>七、服务范围</w:t>
            </w:r>
          </w:p>
          <w:p>
            <w:pPr>
              <w:pStyle w:val="null3"/>
              <w:ind w:firstLine="400"/>
            </w:pPr>
            <w:r>
              <w:rPr>
                <w:rFonts w:ascii="仿宋_GB2312" w:hAnsi="仿宋_GB2312" w:cs="仿宋_GB2312" w:eastAsia="仿宋_GB2312"/>
              </w:rPr>
              <w:t>本项目包含的所有服务。</w:t>
            </w:r>
          </w:p>
          <w:p>
            <w:pPr>
              <w:pStyle w:val="null3"/>
            </w:pPr>
            <w:r>
              <w:rPr>
                <w:rFonts w:ascii="仿宋_GB2312" w:hAnsi="仿宋_GB2312" w:cs="仿宋_GB2312" w:eastAsia="仿宋_GB2312"/>
                <w:b/>
              </w:rPr>
              <w:t>八、服务标准</w:t>
            </w:r>
          </w:p>
          <w:p>
            <w:pPr>
              <w:pStyle w:val="null3"/>
            </w:pPr>
            <w:r>
              <w:rPr>
                <w:rFonts w:ascii="仿宋_GB2312" w:hAnsi="仿宋_GB2312" w:cs="仿宋_GB2312" w:eastAsia="仿宋_GB2312"/>
              </w:rPr>
              <w:t>符合国家或行业标准。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具有会展规划设计人员、搭建人员、会场服务人员、策划宣传人员等</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满足本项目设施设备要求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满足本项目其他要求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自合同签订之日起至完成所有活动项目内容</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1.服务期满后按照成交供应商所提供的资料及数据进行验收； 2.最终验收：自合同签订之日起至完成全部项目内容，需按照采购人确定的时间完成交付并验收合格。 3.验收和评价方式 3.1 乙方提供的服务最终验收达不到磋商文件要求和磋商响应文件承诺及国家或行业标准，或在使用中发现甲方不能容忍的缺陷等，将视为验收不合格，乙方应在甲方要求的时间内无条件完善或赔付采购人损失。 3.2 若发现乙方有弄虚作假的，及在项目实施阶段故意或随意夸大服务，本项目合同解除，乙方赔偿甲方相应的损失。 3.3 验收标准：按磋商文件、磋商响应文件等服务指标进行逐项验收，各项指标均应符合验收标准及要求。 3.4 验收合格后，填写验收单，双方盖章、签字生效。 3.5 验收依据 3.5.1 合同文本 3.5.2 磋商响应文件、磋商文件、澄清函。 3.5.3 国家和行业制定的相应的标准和规范。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预付款，合同签订后，达到付款条件起15个工作日内，支付合同总金额的50.0%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进度款，活动结束且验收合格后，收到供应商提供的合规发票，达到付款条件起15个工作日内，支付合同总金额的50.0%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1.按《民法典》中的相关条款执行。 2.乙方未按协议要求提供服务或服务质量不能满足协议要求的，甲方应当将供应商违约的情况以及拟采取的措施以书面形式报政府采购监管部门，根据政府采购监管部门的处理意见，甲方有权依据《民法典》有关条款及合同约定终止合同，并要求乙方承担违约责任。同时，政府采购监管部门有权依据《政府采购法》及相关法律法规对乙方的违法行为进行相应的处罚。 3.由于不可抗力因素造成无法按照原计划提供服务，双方互不追究违约责任。 4.如有异议另行协商。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（一）供应商所报的价格应考虑到可能发生的所有与完成本项目相关服务及履行合同义务有关的一切费用（含税），任何有选择的报价将不予接受，按无效磋商处理。 （二）本项目所属行业为：租赁和商务服务业。根据《工业和信息化部、国家统计局、国家发展和改革委员会、财政部关于印发中小企业划型标准规定的通知》《工信部联企业(2011)300 号)规定的划分标准, 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 （三）、成交供应商在领取成交通知书前，需向采购代理机构提交加盖公章的纸质版响应文件三套，成交供应商应保持响应文件纸质版内容与系统上传内容完全一致，否则将承担一切法律责任。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可提供2024年或2025年具有财务审计资质单位出具的完整财务报告（审计报告应当具有“赋码查验”功能）；或提供响应文件截止时间前六个月内其基本账户开户银行出具的资信证明（附基本存款账户信息）；以上形式的材料提供任何一种即可；供应商注册时间截至响应文件提交截止日不足一年的，可提供成立后任意时段的资产负债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在中华人民共和国境内注册，依法取得并有效存续的营业执照（含电子营业执照）\事业单位法人证书\民办非企业单位登记证书\非企业专业服务机构执业许可证等。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社保资金缴纳证明</w:t>
            </w:r>
          </w:p>
        </w:tc>
        <w:tc>
          <w:tcPr>
            <w:tcW w:type="dxa" w:w="3322"/>
          </w:tcPr>
          <w:p>
            <w:pPr>
              <w:pStyle w:val="null3"/>
            </w:pPr>
            <w:r>
              <w:rPr>
                <w:rFonts w:ascii="仿宋_GB2312" w:hAnsi="仿宋_GB2312" w:cs="仿宋_GB2312" w:eastAsia="仿宋_GB2312"/>
              </w:rPr>
              <w:t>提交社保资金所属日期在递交响应文件截止时间前一年内任意一个月的社会保障资金缴存单据或社保机构开具的社会保险参保缴费情况证明，单据或证明上应有社保机构或代收机构的公章或业务专用章。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交税款所属日期在递交响应文件截止时间前一年内任意一个月的纳税证明或完税证明，纳税证明或完税证明上应有代收机构或税务机关的公章或业务专用章。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履约能力承诺</w:t>
            </w:r>
          </w:p>
        </w:tc>
        <w:tc>
          <w:tcPr>
            <w:tcW w:type="dxa" w:w="3322"/>
          </w:tcPr>
          <w:p>
            <w:pPr>
              <w:pStyle w:val="null3"/>
            </w:pPr>
            <w:r>
              <w:rPr>
                <w:rFonts w:ascii="仿宋_GB2312" w:hAnsi="仿宋_GB2312" w:cs="仿宋_GB2312" w:eastAsia="仿宋_GB2312"/>
              </w:rPr>
              <w:t>提交具有履行合同所必需的设备和专业技术能力的承诺函。供应商需在项目电子化交易系统中按要求填写《响应函》完成承诺并进行电子签章。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法定代表人（主要负责人）委托授权书\身份证明</w:t>
            </w:r>
          </w:p>
        </w:tc>
        <w:tc>
          <w:tcPr>
            <w:tcW w:type="dxa" w:w="3322"/>
          </w:tcPr>
          <w:p>
            <w:pPr>
              <w:pStyle w:val="null3"/>
            </w:pPr>
            <w:r>
              <w:rPr>
                <w:rFonts w:ascii="仿宋_GB2312" w:hAnsi="仿宋_GB2312" w:cs="仿宋_GB2312" w:eastAsia="仿宋_GB2312"/>
              </w:rPr>
              <w:t>法定代表人（主要负责人）委托代理人参加磋商时，应提供法定代表人（主要负责人）身份证明书及法定代表人（主要负责人）委托授权书；法定代表人（主要负责人）亲自参加磋商时，应提供法定代表人（主要负责人）身份证明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信用记录查询结果</w:t>
            </w:r>
          </w:p>
        </w:tc>
        <w:tc>
          <w:tcPr>
            <w:tcW w:type="dxa" w:w="3322"/>
          </w:tcPr>
          <w:p>
            <w:pPr>
              <w:pStyle w:val="null3"/>
            </w:pPr>
            <w:r>
              <w:rPr>
                <w:rFonts w:ascii="仿宋_GB2312" w:hAnsi="仿宋_GB2312" w:cs="仿宋_GB2312" w:eastAsia="仿宋_GB2312"/>
              </w:rPr>
              <w:t>供应商不得为信用中国”网站（www.creditchina.gov.cn）中重大税收违法失信主体名单的供应商，不得为“信用中国”网站（www.creditchina.gov.cn）中列入失信被执行人的供应商，不得为“中国政府采购网”网站（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非联合体磋商声明</w:t>
            </w:r>
          </w:p>
        </w:tc>
        <w:tc>
          <w:tcPr>
            <w:tcW w:type="dxa" w:w="3322"/>
          </w:tcPr>
          <w:p>
            <w:pPr>
              <w:pStyle w:val="null3"/>
            </w:pPr>
            <w:r>
              <w:rPr>
                <w:rFonts w:ascii="仿宋_GB2312" w:hAnsi="仿宋_GB2312" w:cs="仿宋_GB2312" w:eastAsia="仿宋_GB2312"/>
              </w:rPr>
              <w:t>提交非联合体形式参加本项目磋商的声明函。供应商需在项目电子化交易系统中按要求上传相应证明文件并进行电子签章。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费用明细表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供应商响应有效期自提交响应文件截止之日起不少于90天。供应商需在项目电子化交易系统中按要求填写《响应函》完成承诺并进行电子签章。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响应有效性</w:t>
            </w:r>
          </w:p>
        </w:tc>
        <w:tc>
          <w:tcPr>
            <w:tcW w:type="dxa" w:w="3322"/>
          </w:tcPr>
          <w:p>
            <w:pPr>
              <w:pStyle w:val="null3"/>
            </w:pPr>
            <w:r>
              <w:rPr>
                <w:rFonts w:ascii="仿宋_GB2312" w:hAnsi="仿宋_GB2312" w:cs="仿宋_GB2312" w:eastAsia="仿宋_GB2312"/>
              </w:rPr>
              <w:t>磋商响应文件内容应全面响应磋商文件要求，且无未实质性响应及无效标的情形。</w:t>
            </w:r>
          </w:p>
        </w:tc>
        <w:tc>
          <w:tcPr>
            <w:tcW w:type="dxa" w:w="1661"/>
          </w:tcPr>
          <w:p>
            <w:pPr>
              <w:pStyle w:val="null3"/>
            </w:pPr>
            <w:r>
              <w:rPr>
                <w:rFonts w:ascii="仿宋_GB2312" w:hAnsi="仿宋_GB2312" w:cs="仿宋_GB2312" w:eastAsia="仿宋_GB2312"/>
              </w:rPr>
              <w:t>商务响应偏离表 供应商承诺书 合同条款响应偏离表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w:t>
            </w:r>
          </w:p>
        </w:tc>
        <w:tc>
          <w:tcPr>
            <w:tcW w:type="dxa" w:w="1661"/>
          </w:tcPr>
          <w:p>
            <w:pPr>
              <w:pStyle w:val="null3"/>
            </w:pPr>
            <w:r>
              <w:rPr>
                <w:rFonts w:ascii="仿宋_GB2312" w:hAnsi="仿宋_GB2312" w:cs="仿宋_GB2312" w:eastAsia="仿宋_GB2312"/>
              </w:rPr>
              <w:t>费用明细表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供应商需在项目电子化交易系统中按要求填写《报价表》、《标的清单》并进行电子签章。</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供应商需在项目电子化交易系统中按要求编制磋商响应文件并进行电子签章。</w:t>
            </w:r>
          </w:p>
        </w:tc>
        <w:tc>
          <w:tcPr>
            <w:tcW w:type="dxa" w:w="1661"/>
          </w:tcPr>
          <w:p>
            <w:pPr>
              <w:pStyle w:val="null3"/>
            </w:pPr>
            <w:r>
              <w:rPr>
                <w:rFonts w:ascii="仿宋_GB2312" w:hAnsi="仿宋_GB2312" w:cs="仿宋_GB2312" w:eastAsia="仿宋_GB2312"/>
              </w:rPr>
              <w:t>商务响应偏离表 费用明细表 中小企业声明函 资格证明材料 报价表 合同条款响应偏离表 响应文件封面 其他资料 残疾人福利性单位声明函 技术（服务）方案说明书 标的清单 供应商承诺书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供应商针对本项目特点，结合采购人需求，提出完整合理有针对性的实施方案，内容包括但不限于： ①项目理解与重难点分析（5分）； ②整体策划方案（5分）； ③场地租赁及搭建、布置方案（5分）； ④招商招展方案（5分）； ⑤会务配套服务方案（5分）。 1.实施方案对活动主题理解清晰、准确，整体流程衔接合理，场地搭建空间布局、动线规划、功能分区合理，老字号品牌的邀展策略可行性强、渠道资源丰富，会务配套服务合理可行，方案总体内容全面,符合项目实际情况、与项目需求结合紧密、能够保障项目顺利实施的得25分。 2.以上①-⑤项每缺漏一项扣5分；各项所提供的内容中每有一处缺陷的扣0.5分，扣完为止。（缺陷是指：存在不适用项目实际情况的情形、凭空编造、笼统描述、内容缺失、前后不一致、内容无法连贯、前后逻辑错误、涉及的规范及标准错误、地点区域错误、直接套用其他项目方案、与项目实施特点不匹配、不符合或不满足采购需求实际等任意一种不利于项目实施情况） 3.未提供不得分。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技术（服务）方案说明书</w:t>
            </w:r>
          </w:p>
          <w:p>
            <w:pPr>
              <w:pStyle w:val="null3"/>
            </w:pPr>
            <w:r>
              <w:rPr>
                <w:rFonts w:ascii="仿宋_GB2312" w:hAnsi="仿宋_GB2312" w:cs="仿宋_GB2312" w:eastAsia="仿宋_GB2312"/>
              </w:rPr>
              <w:t>其他资料</w:t>
            </w:r>
          </w:p>
        </w:tc>
      </w:tr>
      <w:tr>
        <w:tc>
          <w:tcPr>
            <w:tcW w:type="dxa" w:w="831"/>
            <w:vMerge/>
          </w:tcPr>
          <w:p/>
        </w:tc>
        <w:tc>
          <w:tcPr>
            <w:tcW w:type="dxa" w:w="1661"/>
          </w:tcPr>
          <w:p>
            <w:pPr>
              <w:pStyle w:val="null3"/>
            </w:pPr>
            <w:r>
              <w:rPr>
                <w:rFonts w:ascii="仿宋_GB2312" w:hAnsi="仿宋_GB2312" w:cs="仿宋_GB2312" w:eastAsia="仿宋_GB2312"/>
              </w:rPr>
              <w:t>进度、质量保障措施与应急预案</w:t>
            </w:r>
          </w:p>
        </w:tc>
        <w:tc>
          <w:tcPr>
            <w:tcW w:type="dxa" w:w="2492"/>
          </w:tcPr>
          <w:p>
            <w:pPr>
              <w:pStyle w:val="null3"/>
            </w:pPr>
            <w:r>
              <w:rPr>
                <w:rFonts w:ascii="仿宋_GB2312" w:hAnsi="仿宋_GB2312" w:cs="仿宋_GB2312" w:eastAsia="仿宋_GB2312"/>
              </w:rPr>
              <w:t>供应商提供针对本项目的 ①进度计划及保障措施（5分）； ②服务质量保障措施（5分）； ③应急预案（5分）。 1.内容全面，符合项目实际情况、与服务需求结合紧密、能够保障项目顺利实施的得15分。 2.以上①-③项每缺漏一项扣5分；各项所提供的内容中每有一处缺陷的扣0.5分，扣完为止。（缺陷是指：存在不适用项目实际情况的情形、凭空编造、笼统描述、内容缺失、前后不一致、内容无法连贯、前后逻辑错误、涉及的规范及标准错误、地点区域错误、直接套用其他项目方案、与项目实施特点不匹配、不符合或不满足采购需求实际等任意一种不利于项目实施情况） 3.未提供不得分。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技术（服务）方案说明书</w:t>
            </w:r>
          </w:p>
          <w:p>
            <w:pPr>
              <w:pStyle w:val="null3"/>
            </w:pPr>
            <w:r>
              <w:rPr>
                <w:rFonts w:ascii="仿宋_GB2312" w:hAnsi="仿宋_GB2312" w:cs="仿宋_GB2312" w:eastAsia="仿宋_GB2312"/>
              </w:rPr>
              <w:t>其他资料</w:t>
            </w:r>
          </w:p>
        </w:tc>
      </w:tr>
      <w:tr>
        <w:tc>
          <w:tcPr>
            <w:tcW w:type="dxa" w:w="831"/>
            <w:vMerge/>
          </w:tcPr>
          <w:p/>
        </w:tc>
        <w:tc>
          <w:tcPr>
            <w:tcW w:type="dxa" w:w="1661"/>
          </w:tcPr>
          <w:p>
            <w:pPr>
              <w:pStyle w:val="null3"/>
            </w:pPr>
            <w:r>
              <w:rPr>
                <w:rFonts w:ascii="仿宋_GB2312" w:hAnsi="仿宋_GB2312" w:cs="仿宋_GB2312" w:eastAsia="仿宋_GB2312"/>
              </w:rPr>
              <w:t>团队配置</w:t>
            </w:r>
          </w:p>
        </w:tc>
        <w:tc>
          <w:tcPr>
            <w:tcW w:type="dxa" w:w="2492"/>
          </w:tcPr>
          <w:p>
            <w:pPr>
              <w:pStyle w:val="null3"/>
            </w:pPr>
            <w:r>
              <w:rPr>
                <w:rFonts w:ascii="仿宋_GB2312" w:hAnsi="仿宋_GB2312" w:cs="仿宋_GB2312" w:eastAsia="仿宋_GB2312"/>
              </w:rPr>
              <w:t>一、项目负责人：（4分） 拟派项目负责人具备会展行业3年以上工作经验，提供承诺书，得4分。 二、核心团队人员配备：（9分） 供应商针对本项目特点及采购需求，提供拟派核心团队人员名单（不含项目负责人，包括但不限于会展规划设计、搭建、会场服务、策划宣传等方面） 拟派核心团队人员覆盖以上全部4个岗位（1人1岗）得6分，不满足不得分。 在满足以上基础之上，每增加1人，加1分，最高加3分； 未提供得0分。 拟派团队人员需提供身份证复印件。</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技术（服务）方案说明书</w:t>
            </w:r>
          </w:p>
          <w:p>
            <w:pPr>
              <w:pStyle w:val="null3"/>
            </w:pPr>
            <w:r>
              <w:rPr>
                <w:rFonts w:ascii="仿宋_GB2312" w:hAnsi="仿宋_GB2312" w:cs="仿宋_GB2312" w:eastAsia="仿宋_GB2312"/>
              </w:rPr>
              <w:t>其他资料</w:t>
            </w:r>
          </w:p>
        </w:tc>
      </w:tr>
      <w:tr>
        <w:tc>
          <w:tcPr>
            <w:tcW w:type="dxa" w:w="831"/>
            <w:vMerge/>
          </w:tcPr>
          <w:p/>
        </w:tc>
        <w:tc>
          <w:tcPr>
            <w:tcW w:type="dxa" w:w="1661"/>
          </w:tcPr>
          <w:p>
            <w:pPr>
              <w:pStyle w:val="null3"/>
            </w:pPr>
            <w:r>
              <w:rPr>
                <w:rFonts w:ascii="仿宋_GB2312" w:hAnsi="仿宋_GB2312" w:cs="仿宋_GB2312" w:eastAsia="仿宋_GB2312"/>
              </w:rPr>
              <w:t>廉洁从业方案</w:t>
            </w:r>
          </w:p>
        </w:tc>
        <w:tc>
          <w:tcPr>
            <w:tcW w:type="dxa" w:w="2492"/>
          </w:tcPr>
          <w:p>
            <w:pPr>
              <w:pStyle w:val="null3"/>
            </w:pPr>
            <w:r>
              <w:rPr>
                <w:rFonts w:ascii="仿宋_GB2312" w:hAnsi="仿宋_GB2312" w:cs="仿宋_GB2312" w:eastAsia="仿宋_GB2312"/>
              </w:rPr>
              <w:t>供应商提供针对本项目的①职业道德准测；②廉洁从业措施。 每提供一项内容得3分，最高得6分。 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技术（服务）方案说明书</w:t>
            </w:r>
          </w:p>
          <w:p>
            <w:pPr>
              <w:pStyle w:val="null3"/>
            </w:pPr>
            <w:r>
              <w:rPr>
                <w:rFonts w:ascii="仿宋_GB2312" w:hAnsi="仿宋_GB2312" w:cs="仿宋_GB2312" w:eastAsia="仿宋_GB2312"/>
              </w:rPr>
              <w:t>其他资料</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供应商对本项目服务工作中常见问题进行梳理，具有良好的解决方案并向采购人提出合理化建议，每提供一条建议得2分，最高得8分。 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技术（服务）方案说明书</w:t>
            </w:r>
          </w:p>
          <w:p>
            <w:pPr>
              <w:pStyle w:val="null3"/>
            </w:pPr>
            <w:r>
              <w:rPr>
                <w:rFonts w:ascii="仿宋_GB2312" w:hAnsi="仿宋_GB2312" w:cs="仿宋_GB2312" w:eastAsia="仿宋_GB2312"/>
              </w:rPr>
              <w:t>其他资料</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供应商针对本项目特点，结合采购人需求，提供服务承诺（形式、内容不限，格式自拟）。 内容包括： ①服务内容（2分）； ②服务期限（2分）； ③解决问题响应时间（2分）； ④有独立服务能力（2分）； 以上承诺全部提供得8分，每少一项扣2分，扣完为止。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技术（服务）方案说明书</w:t>
            </w:r>
          </w:p>
          <w:p>
            <w:pPr>
              <w:pStyle w:val="null3"/>
            </w:pPr>
            <w:r>
              <w:rPr>
                <w:rFonts w:ascii="仿宋_GB2312" w:hAnsi="仿宋_GB2312" w:cs="仿宋_GB2312" w:eastAsia="仿宋_GB2312"/>
              </w:rPr>
              <w:t>其他资料</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提供2023年8月1日以来类似项目业绩。以合同签订日期为准，并以加盖供应商公章的合同关键页复印件或扫描件为计分依据，每份业绩合同计3分，最高得15分。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技术（服务）方案说明书</w:t>
            </w:r>
          </w:p>
          <w:p>
            <w:pPr>
              <w:pStyle w:val="null3"/>
            </w:pPr>
            <w:r>
              <w:rPr>
                <w:rFonts w:ascii="仿宋_GB2312" w:hAnsi="仿宋_GB2312" w:cs="仿宋_GB2312" w:eastAsia="仿宋_GB2312"/>
              </w:rPr>
              <w:t>其他资料</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1.满足磋商文件实质性要求且最终报价最低的供应商的价格为磋商基准价，其价格分为满分10分。 2.磋商总报价得分=(磋商基准价／最终磋商总报价)×10 注：计算分数时四舍五入取小数点后两位；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详见附件：费用明细表</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详见附件：资格证明材料</w:t>
      </w:r>
    </w:p>
    <w:p>
      <w:pPr>
        <w:pStyle w:val="null3"/>
        <w:ind w:firstLine="960"/>
      </w:pPr>
      <w:r>
        <w:rPr>
          <w:rFonts w:ascii="仿宋_GB2312" w:hAnsi="仿宋_GB2312" w:cs="仿宋_GB2312" w:eastAsia="仿宋_GB2312"/>
        </w:rPr>
        <w:t>详见附件：技术（服务）方案说明书</w:t>
      </w:r>
    </w:p>
    <w:p>
      <w:pPr>
        <w:pStyle w:val="null3"/>
        <w:ind w:firstLine="960"/>
      </w:pPr>
      <w:r>
        <w:rPr>
          <w:rFonts w:ascii="仿宋_GB2312" w:hAnsi="仿宋_GB2312" w:cs="仿宋_GB2312" w:eastAsia="仿宋_GB2312"/>
        </w:rPr>
        <w:t>详见附件：商务响应偏离表</w:t>
      </w:r>
    </w:p>
    <w:p>
      <w:pPr>
        <w:pStyle w:val="null3"/>
        <w:ind w:firstLine="960"/>
      </w:pPr>
      <w:r>
        <w:rPr>
          <w:rFonts w:ascii="仿宋_GB2312" w:hAnsi="仿宋_GB2312" w:cs="仿宋_GB2312" w:eastAsia="仿宋_GB2312"/>
        </w:rPr>
        <w:t>详见附件：合同条款响应偏离表</w:t>
      </w:r>
    </w:p>
    <w:p>
      <w:pPr>
        <w:pStyle w:val="null3"/>
        <w:ind w:firstLine="960"/>
      </w:pPr>
      <w:r>
        <w:rPr>
          <w:rFonts w:ascii="仿宋_GB2312" w:hAnsi="仿宋_GB2312" w:cs="仿宋_GB2312" w:eastAsia="仿宋_GB2312"/>
        </w:rPr>
        <w:t>详见附件：其他资料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