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55B4C">
      <w:pPr>
        <w:pStyle w:val="3"/>
        <w:pageBreakBefore w:val="0"/>
        <w:widowControl w:val="0"/>
        <w:kinsoku/>
        <w:wordWrap/>
        <w:overflowPunct/>
        <w:topLinePunct w:val="0"/>
        <w:autoSpaceDE/>
        <w:autoSpaceDN/>
        <w:bidi w:val="0"/>
        <w:adjustRightInd/>
        <w:snapToGrid/>
        <w:spacing w:before="0" w:after="0" w:line="560" w:lineRule="exact"/>
        <w:ind w:left="0" w:firstLine="643" w:firstLineChars="200"/>
        <w:jc w:val="center"/>
        <w:textAlignment w:val="auto"/>
        <w:rPr>
          <w:rFonts w:hint="eastAsia" w:ascii="Times New Roman" w:hAnsi="Times New Roman" w:cs="Times New Roman"/>
          <w:lang w:val="zh-CN"/>
        </w:rPr>
      </w:pPr>
      <w:r>
        <w:rPr>
          <w:rFonts w:hint="eastAsia" w:ascii="Times New Roman" w:hAnsi="Times New Roman" w:cs="Times New Roman"/>
          <w:lang w:val="zh-CN"/>
        </w:rPr>
        <w:t>拟签订的合同条款文本</w:t>
      </w:r>
    </w:p>
    <w:p w14:paraId="7A8A45FA">
      <w:pPr>
        <w:pStyle w:val="2"/>
        <w:jc w:val="center"/>
        <w:rPr>
          <w:rFonts w:hint="eastAsia"/>
          <w:lang w:val="zh-CN"/>
        </w:rPr>
      </w:pPr>
      <w:r>
        <w:rPr>
          <w:rFonts w:hint="eastAsia"/>
          <w:lang w:val="zh-CN"/>
        </w:rPr>
        <w:t>（具体以实际签订合同</w:t>
      </w:r>
      <w:r>
        <w:rPr>
          <w:rFonts w:hint="eastAsia"/>
          <w:lang w:val="en-US" w:eastAsia="zh-CN"/>
        </w:rPr>
        <w:t>为准</w:t>
      </w:r>
      <w:r>
        <w:rPr>
          <w:rFonts w:hint="eastAsia"/>
          <w:lang w:val="zh-CN"/>
        </w:rPr>
        <w:t>）</w:t>
      </w:r>
    </w:p>
    <w:p w14:paraId="4D377AE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bookmarkStart w:id="0" w:name="_Hlk107229277"/>
      <w:r>
        <w:rPr>
          <w:rFonts w:hint="eastAsia" w:ascii="仿宋_GB2312" w:hAnsi="仿宋_GB2312" w:eastAsia="仿宋_GB2312" w:cs="仿宋_GB2312"/>
          <w:bCs/>
          <w:sz w:val="28"/>
          <w:szCs w:val="28"/>
        </w:rPr>
        <w:t xml:space="preserve">甲方（采购人）： </w:t>
      </w:r>
    </w:p>
    <w:p w14:paraId="269E837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w:t>
      </w:r>
      <w:r>
        <w:rPr>
          <w:rFonts w:hint="eastAsia" w:ascii="仿宋_GB2312" w:hAnsi="仿宋_GB2312" w:eastAsia="仿宋_GB2312" w:cs="仿宋_GB2312"/>
          <w:bCs/>
          <w:sz w:val="28"/>
          <w:szCs w:val="28"/>
          <w:lang w:val="en-US" w:eastAsia="zh-CN"/>
        </w:rPr>
        <w:t>成交供应商</w:t>
      </w:r>
      <w:r>
        <w:rPr>
          <w:rFonts w:hint="eastAsia" w:ascii="仿宋_GB2312" w:hAnsi="仿宋_GB2312" w:eastAsia="仿宋_GB2312" w:cs="仿宋_GB2312"/>
          <w:bCs/>
          <w:sz w:val="28"/>
          <w:szCs w:val="28"/>
        </w:rPr>
        <w:t xml:space="preserve">）： </w:t>
      </w:r>
    </w:p>
    <w:p w14:paraId="2ECE251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鉴</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lang w:eastAsia="zh-CN"/>
        </w:rPr>
        <w:t>证</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lang w:eastAsia="zh-CN"/>
        </w:rPr>
        <w:t>方</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lang w:eastAsia="zh-CN"/>
        </w:rPr>
        <w:t>：</w:t>
      </w:r>
    </w:p>
    <w:p w14:paraId="491FE09B">
      <w:pPr>
        <w:keepNext w:val="0"/>
        <w:keepLines w:val="0"/>
        <w:pageBreakBefore w:val="0"/>
        <w:widowControl w:val="0"/>
        <w:kinsoku/>
        <w:wordWrap/>
        <w:overflowPunct/>
        <w:topLinePunct w:val="0"/>
        <w:autoSpaceDE/>
        <w:autoSpaceDN/>
        <w:bidi w:val="0"/>
        <w:adjustRightInd/>
        <w:snapToGrid/>
        <w:ind w:firstLine="560" w:firstLineChars="200"/>
        <w:jc w:val="left"/>
        <w:textAlignment w:val="auto"/>
        <w:outlineLvl w:val="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rPr>
        <w:t xml:space="preserve"> 陕西周至国家级自然保护区2026年度中央财政林业草原生态保护恢复资金项目-保护监测设备购置及生态保护宣传教育</w:t>
      </w:r>
      <w:r>
        <w:rPr>
          <w:rFonts w:hint="eastAsia" w:ascii="仿宋_GB2312" w:hAnsi="仿宋_GB2312" w:eastAsia="仿宋_GB2312" w:cs="仿宋_GB2312"/>
          <w:bCs/>
          <w:sz w:val="28"/>
          <w:szCs w:val="28"/>
          <w:u w:val="single"/>
          <w:lang w:eastAsia="zh-CN"/>
        </w:rPr>
        <w:t>、生态保护宣传教育</w:t>
      </w:r>
      <w:r>
        <w:rPr>
          <w:rFonts w:hint="eastAsia" w:ascii="仿宋_GB2312" w:hAnsi="仿宋_GB2312" w:eastAsia="仿宋_GB2312" w:cs="仿宋_GB2312"/>
          <w:bCs/>
          <w:sz w:val="28"/>
          <w:szCs w:val="28"/>
          <w:u w:val="single"/>
        </w:rPr>
        <w:t>(项目编号：FHGJ-ZC-2026-0714)</w:t>
      </w:r>
      <w:r>
        <w:rPr>
          <w:rFonts w:hint="eastAsia" w:ascii="仿宋_GB2312" w:hAnsi="仿宋_GB2312" w:eastAsia="仿宋_GB2312" w:cs="仿宋_GB2312"/>
          <w:bCs/>
          <w:sz w:val="28"/>
          <w:szCs w:val="28"/>
        </w:rPr>
        <w:t>，由</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组织</w:t>
      </w:r>
      <w:r>
        <w:rPr>
          <w:rFonts w:hint="eastAsia" w:ascii="仿宋_GB2312" w:hAnsi="仿宋_GB2312" w:eastAsia="仿宋_GB2312" w:cs="仿宋_GB2312"/>
          <w:bCs/>
          <w:sz w:val="28"/>
          <w:szCs w:val="28"/>
          <w:lang w:val="en-US" w:eastAsia="zh-CN"/>
        </w:rPr>
        <w:t>竞争性磋商</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w:t>
      </w:r>
      <w:r>
        <w:rPr>
          <w:rFonts w:hint="eastAsia" w:ascii="仿宋_GB2312" w:hAnsi="仿宋_GB2312" w:eastAsia="仿宋_GB2312" w:cs="仿宋_GB2312"/>
          <w:bCs/>
          <w:sz w:val="28"/>
          <w:szCs w:val="28"/>
          <w:lang w:val="en-US" w:eastAsia="zh-CN"/>
        </w:rPr>
        <w:t>成交供应商</w:t>
      </w:r>
      <w:r>
        <w:rPr>
          <w:rFonts w:hint="eastAsia" w:ascii="仿宋_GB2312" w:hAnsi="仿宋_GB2312" w:eastAsia="仿宋_GB2312" w:cs="仿宋_GB2312"/>
          <w:bCs/>
          <w:sz w:val="28"/>
          <w:szCs w:val="28"/>
        </w:rPr>
        <w:t>。</w:t>
      </w:r>
    </w:p>
    <w:p w14:paraId="0F31297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依据《中华人民共和国民法典》和《中华人民共和国政府采购法》及相关法律法规</w:t>
      </w:r>
      <w:r>
        <w:rPr>
          <w:rFonts w:hint="eastAsia" w:ascii="仿宋_GB2312" w:hAnsi="仿宋_GB2312" w:eastAsia="仿宋_GB2312" w:cs="仿宋_GB2312"/>
          <w:bCs/>
          <w:sz w:val="28"/>
          <w:szCs w:val="28"/>
          <w:lang w:eastAsia="zh-CN"/>
        </w:rPr>
        <w:t>的</w:t>
      </w:r>
      <w:r>
        <w:rPr>
          <w:rFonts w:hint="eastAsia" w:ascii="仿宋_GB2312" w:hAnsi="仿宋_GB2312" w:eastAsia="仿宋_GB2312" w:cs="仿宋_GB2312"/>
          <w:bCs/>
          <w:sz w:val="28"/>
          <w:szCs w:val="28"/>
        </w:rPr>
        <w:t>规定，经双方在平等、自愿、互利的基础上，签订本合同，共同信守</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按下述条款和条件签署本合同。</w:t>
      </w:r>
    </w:p>
    <w:bookmarkEnd w:id="0"/>
    <w:p w14:paraId="7D2F976A">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eastAsia="zh-CN"/>
        </w:rPr>
        <w:t>第一条：</w:t>
      </w:r>
      <w:r>
        <w:rPr>
          <w:rFonts w:hint="eastAsia" w:ascii="仿宋_GB2312" w:hAnsi="仿宋_GB2312" w:eastAsia="仿宋_GB2312" w:cs="仿宋_GB2312"/>
          <w:b/>
          <w:bCs/>
          <w:sz w:val="28"/>
          <w:szCs w:val="28"/>
          <w:lang w:val="zh-CN"/>
        </w:rPr>
        <w:t>项目内容</w:t>
      </w:r>
    </w:p>
    <w:p w14:paraId="2BE06221">
      <w:pPr>
        <w:numPr>
          <w:ilvl w:val="0"/>
          <w:numId w:val="1"/>
        </w:numPr>
        <w:autoSpaceDE w:val="0"/>
        <w:autoSpaceDN w:val="0"/>
        <w:adjustRightInd w:val="0"/>
        <w:snapToGrid w:val="0"/>
        <w:spacing w:line="360" w:lineRule="auto"/>
        <w:ind w:firstLine="562" w:firstLineChars="200"/>
        <w:rPr>
          <w:rFonts w:hint="eastAsia" w:ascii="仿宋" w:hAnsi="仿宋" w:eastAsia="仿宋" w:cs="仿宋"/>
          <w:b/>
          <w:i w:val="0"/>
          <w:color w:val="000000"/>
          <w:spacing w:val="0"/>
          <w:sz w:val="28"/>
          <w:u w:val="single"/>
        </w:rPr>
      </w:pPr>
      <w:r>
        <w:rPr>
          <w:rFonts w:ascii="仿宋" w:hAnsi="仿宋" w:eastAsia="仿宋" w:cs="仿宋"/>
          <w:b/>
          <w:i w:val="0"/>
          <w:color w:val="000000"/>
          <w:spacing w:val="0"/>
          <w:sz w:val="28"/>
        </w:rPr>
        <w:t>项目名称：</w:t>
      </w:r>
      <w:r>
        <w:rPr>
          <w:rFonts w:hint="eastAsia" w:ascii="仿宋_GB2312" w:hAnsi="仿宋_GB2312" w:eastAsia="仿宋_GB2312" w:cs="仿宋_GB2312"/>
          <w:bCs/>
          <w:sz w:val="28"/>
          <w:szCs w:val="28"/>
          <w:u w:val="single"/>
        </w:rPr>
        <w:t xml:space="preserve"> </w:t>
      </w:r>
      <w:r>
        <w:rPr>
          <w:rFonts w:hint="eastAsia" w:ascii="仿宋" w:hAnsi="仿宋" w:eastAsia="仿宋" w:cs="仿宋"/>
          <w:b/>
          <w:bCs w:val="0"/>
          <w:color w:val="000000"/>
          <w:sz w:val="28"/>
          <w:szCs w:val="24"/>
          <w:u w:val="single"/>
        </w:rPr>
        <w:t>陕西周至国家级自然保护区2026年度中央财政林业草原生态保护恢复资金项目-保护监测设备购置及生态保护宣传教育</w:t>
      </w:r>
      <w:r>
        <w:rPr>
          <w:rFonts w:hint="eastAsia" w:ascii="仿宋" w:hAnsi="仿宋" w:eastAsia="仿宋" w:cs="仿宋"/>
          <w:b/>
          <w:bCs w:val="0"/>
          <w:color w:val="000000"/>
          <w:sz w:val="28"/>
          <w:szCs w:val="24"/>
          <w:u w:val="single"/>
          <w:lang w:val="en-US" w:eastAsia="zh-CN"/>
        </w:rPr>
        <w:t xml:space="preserve"> </w:t>
      </w:r>
    </w:p>
    <w:p w14:paraId="360B833B">
      <w:pPr>
        <w:pageBreakBefore w:val="0"/>
        <w:wordWrap w:val="0"/>
        <w:spacing w:before="0" w:after="0" w:line="580" w:lineRule="atLeast"/>
        <w:ind w:right="0" w:firstLine="562" w:firstLineChars="200"/>
        <w:jc w:val="both"/>
        <w:textAlignment w:val="baseline"/>
        <w:rPr>
          <w:rFonts w:hint="default" w:ascii="仿宋" w:hAnsi="仿宋" w:eastAsia="仿宋" w:cs="仿宋"/>
          <w:b/>
          <w:i w:val="0"/>
          <w:color w:val="000000"/>
          <w:spacing w:val="0"/>
          <w:sz w:val="28"/>
          <w:u w:val="single"/>
          <w:lang w:val="en-US" w:eastAsia="zh-CN"/>
        </w:rPr>
      </w:pPr>
      <w:r>
        <w:rPr>
          <w:rFonts w:ascii="仿宋" w:hAnsi="仿宋" w:eastAsia="仿宋" w:cs="仿宋"/>
          <w:b/>
          <w:i w:val="0"/>
          <w:color w:val="000000"/>
          <w:spacing w:val="0"/>
          <w:sz w:val="28"/>
        </w:rPr>
        <w:t>(二)</w:t>
      </w:r>
      <w:r>
        <w:rPr>
          <w:rFonts w:hint="eastAsia" w:ascii="仿宋" w:hAnsi="仿宋" w:eastAsia="仿宋" w:cs="仿宋"/>
          <w:b/>
          <w:i w:val="0"/>
          <w:color w:val="000000"/>
          <w:spacing w:val="0"/>
          <w:sz w:val="28"/>
          <w:lang w:val="en-US" w:eastAsia="zh-CN"/>
        </w:rPr>
        <w:t>合同包名称：</w:t>
      </w:r>
      <w:r>
        <w:rPr>
          <w:rFonts w:hint="eastAsia" w:ascii="仿宋" w:hAnsi="仿宋" w:eastAsia="仿宋" w:cs="仿宋"/>
          <w:b/>
          <w:i w:val="0"/>
          <w:color w:val="000000"/>
          <w:spacing w:val="0"/>
          <w:sz w:val="28"/>
          <w:u w:val="single"/>
          <w:lang w:val="en-US" w:eastAsia="zh-CN"/>
        </w:rPr>
        <w:t xml:space="preserve"> 生态保护宣传教育  </w:t>
      </w:r>
    </w:p>
    <w:p w14:paraId="530D6E58">
      <w:pPr>
        <w:pageBreakBefore w:val="0"/>
        <w:wordWrap w:val="0"/>
        <w:spacing w:before="0" w:after="0" w:line="580" w:lineRule="atLeast"/>
        <w:ind w:right="0" w:firstLine="562" w:firstLineChars="200"/>
        <w:jc w:val="both"/>
        <w:textAlignment w:val="baseline"/>
        <w:rPr>
          <w:rFonts w:ascii="仿宋" w:hAnsi="仿宋" w:eastAsia="仿宋" w:cs="仿宋"/>
          <w:b/>
          <w:i w:val="0"/>
          <w:color w:val="000000"/>
          <w:spacing w:val="0"/>
          <w:sz w:val="28"/>
        </w:rPr>
      </w:pPr>
      <w:r>
        <w:rPr>
          <w:rFonts w:ascii="仿宋" w:hAnsi="仿宋" w:eastAsia="仿宋" w:cs="仿宋"/>
          <w:b/>
          <w:i w:val="0"/>
          <w:color w:val="000000"/>
          <w:spacing w:val="0"/>
          <w:sz w:val="28"/>
        </w:rPr>
        <w:t>具体事项：</w:t>
      </w:r>
      <w:r>
        <w:rPr>
          <w:rFonts w:hint="eastAsia" w:ascii="仿宋_GB2312" w:hAnsi="仿宋_GB2312" w:eastAsia="仿宋_GB2312" w:cs="仿宋_GB2312"/>
          <w:bCs/>
          <w:sz w:val="28"/>
          <w:szCs w:val="28"/>
        </w:rPr>
        <w:t>详见</w:t>
      </w:r>
      <w:r>
        <w:rPr>
          <w:rFonts w:hint="eastAsia" w:ascii="仿宋_GB2312" w:hAnsi="仿宋_GB2312" w:eastAsia="仿宋_GB2312" w:cs="仿宋_GB2312"/>
          <w:bCs/>
          <w:sz w:val="28"/>
          <w:szCs w:val="28"/>
          <w:lang w:val="en-US" w:eastAsia="zh-CN"/>
        </w:rPr>
        <w:t>采购清单</w:t>
      </w:r>
      <w:r>
        <w:rPr>
          <w:rFonts w:hint="eastAsia" w:ascii="仿宋_GB2312" w:hAnsi="仿宋_GB2312" w:eastAsia="仿宋_GB2312" w:cs="仿宋_GB2312"/>
          <w:bCs/>
          <w:sz w:val="28"/>
          <w:szCs w:val="28"/>
        </w:rPr>
        <w:t>。</w:t>
      </w:r>
    </w:p>
    <w:p w14:paraId="217A422E">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第二条：</w:t>
      </w:r>
      <w:r>
        <w:rPr>
          <w:rFonts w:hint="eastAsia" w:ascii="仿宋_GB2312" w:hAnsi="仿宋_GB2312" w:eastAsia="仿宋_GB2312" w:cs="仿宋_GB2312"/>
          <w:b/>
          <w:bCs/>
          <w:sz w:val="28"/>
          <w:szCs w:val="28"/>
          <w:lang w:val="zh-CN"/>
        </w:rPr>
        <w:t>建设期限、地点</w:t>
      </w:r>
    </w:p>
    <w:p w14:paraId="79F44CC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1、建设期限：</w:t>
      </w:r>
      <w:r>
        <w:rPr>
          <w:rFonts w:hint="eastAsia" w:ascii="仿宋_GB2312" w:hAnsi="仿宋_GB2312" w:eastAsia="仿宋_GB2312" w:cs="仿宋_GB2312"/>
          <w:bCs/>
          <w:sz w:val="28"/>
          <w:szCs w:val="28"/>
          <w:lang w:eastAsia="zh-CN"/>
        </w:rPr>
        <w:t>自合同签订之日起365个日历日完成全部项目内容，并交付采购人初验合格</w:t>
      </w:r>
      <w:r>
        <w:rPr>
          <w:rFonts w:hint="eastAsia" w:ascii="仿宋_GB2312" w:hAnsi="仿宋_GB2312" w:eastAsia="仿宋_GB2312" w:cs="仿宋_GB2312"/>
          <w:bCs/>
          <w:sz w:val="28"/>
          <w:szCs w:val="28"/>
        </w:rPr>
        <w:t>。</w:t>
      </w:r>
    </w:p>
    <w:p w14:paraId="77508C8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2、服务地点：采购人指定要求。</w:t>
      </w:r>
    </w:p>
    <w:p w14:paraId="085AD5A5">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第三条：</w:t>
      </w:r>
      <w:r>
        <w:rPr>
          <w:rFonts w:hint="eastAsia" w:ascii="仿宋_GB2312" w:hAnsi="仿宋_GB2312" w:eastAsia="仿宋_GB2312" w:cs="仿宋_GB2312"/>
          <w:b/>
          <w:bCs/>
          <w:sz w:val="28"/>
          <w:szCs w:val="28"/>
        </w:rPr>
        <w:t>合同价款</w:t>
      </w:r>
      <w:r>
        <w:rPr>
          <w:rFonts w:hint="eastAsia" w:ascii="仿宋_GB2312" w:hAnsi="仿宋_GB2312" w:eastAsia="仿宋_GB2312" w:cs="仿宋_GB2312"/>
          <w:b/>
          <w:bCs/>
          <w:sz w:val="28"/>
          <w:szCs w:val="28"/>
          <w:lang w:eastAsia="zh-CN"/>
        </w:rPr>
        <w:t>及付款安排</w:t>
      </w:r>
    </w:p>
    <w:p w14:paraId="239F24C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（一）</w:t>
      </w:r>
      <w:r>
        <w:rPr>
          <w:rFonts w:hint="eastAsia" w:ascii="仿宋_GB2312" w:hAnsi="仿宋_GB2312" w:eastAsia="仿宋_GB2312" w:cs="仿宋_GB2312"/>
          <w:bCs/>
          <w:sz w:val="28"/>
          <w:szCs w:val="28"/>
          <w:lang w:eastAsia="zh-CN"/>
        </w:rPr>
        <w:t>合同价款</w:t>
      </w:r>
    </w:p>
    <w:p w14:paraId="7C0834D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合同</w:t>
      </w:r>
      <w:r>
        <w:rPr>
          <w:rFonts w:hint="eastAsia" w:ascii="仿宋_GB2312" w:hAnsi="仿宋_GB2312" w:eastAsia="仿宋_GB2312" w:cs="仿宋_GB2312"/>
          <w:bCs/>
          <w:sz w:val="28"/>
          <w:szCs w:val="28"/>
          <w:lang w:eastAsia="zh-CN"/>
        </w:rPr>
        <w:t>总</w:t>
      </w:r>
      <w:r>
        <w:rPr>
          <w:rFonts w:hint="eastAsia" w:ascii="仿宋_GB2312" w:hAnsi="仿宋_GB2312" w:eastAsia="仿宋_GB2312" w:cs="仿宋_GB2312"/>
          <w:bCs/>
          <w:sz w:val="28"/>
          <w:szCs w:val="28"/>
        </w:rPr>
        <w:t>价款</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人民币（大写）</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小写</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 xml:space="preserve"> ）。</w:t>
      </w:r>
    </w:p>
    <w:p w14:paraId="3957E99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rPr>
        <w:t>合同价款包括但不限于</w:t>
      </w:r>
      <w:r>
        <w:rPr>
          <w:rFonts w:hint="eastAsia" w:ascii="仿宋_GB2312" w:hAnsi="仿宋_GB2312" w:eastAsia="仿宋_GB2312" w:cs="仿宋_GB2312"/>
          <w:sz w:val="28"/>
          <w:szCs w:val="28"/>
          <w:lang w:val="zh-CN"/>
        </w:rPr>
        <w:t>产品供应费、运输费（含保险费）、检测验收费、安装调试费、培训费、维保费、管理费、税金及其它相关的费用</w:t>
      </w:r>
      <w:r>
        <w:rPr>
          <w:rFonts w:hint="eastAsia" w:ascii="仿宋_GB2312" w:hAnsi="仿宋_GB2312" w:eastAsia="仿宋_GB2312" w:cs="仿宋_GB2312"/>
          <w:bCs/>
          <w:sz w:val="28"/>
          <w:szCs w:val="28"/>
        </w:rPr>
        <w:t>。</w:t>
      </w:r>
    </w:p>
    <w:p w14:paraId="25C7CC5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合同价款一次性包死，不受市场价格变化因素的影响。</w:t>
      </w:r>
    </w:p>
    <w:p w14:paraId="476F4AC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二</w:t>
      </w:r>
      <w:r>
        <w:rPr>
          <w:rFonts w:hint="eastAsia" w:ascii="仿宋_GB2312" w:hAnsi="仿宋_GB2312" w:eastAsia="仿宋_GB2312" w:cs="仿宋_GB2312"/>
          <w:bCs/>
          <w:sz w:val="28"/>
          <w:szCs w:val="28"/>
        </w:rPr>
        <w:t>）付款比例</w:t>
      </w:r>
    </w:p>
    <w:p w14:paraId="2E015E2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1、合同签订且施工人员进场后，达到付款条件起15个工作日内，支付合同总金额的40.0%，即：人民币（大写）          （小写：¥    元）。</w:t>
      </w:r>
    </w:p>
    <w:p w14:paraId="3CB6550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2、完成供货安装调试并初验合格，且财政资金拨付到位后，达到付款条件起15个工作日内，支付合同总金额的60.0，即：人民币（大写）          （小写：¥    元）</w:t>
      </w:r>
      <w:r>
        <w:rPr>
          <w:rFonts w:hint="eastAsia" w:ascii="仿宋_GB2312" w:hAnsi="仿宋_GB2312" w:eastAsia="仿宋_GB2312" w:cs="仿宋_GB2312"/>
          <w:bCs/>
          <w:sz w:val="28"/>
          <w:szCs w:val="28"/>
          <w:lang w:eastAsia="zh-CN"/>
        </w:rPr>
        <w:t>。</w:t>
      </w:r>
    </w:p>
    <w:p w14:paraId="40B6D1D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三</w:t>
      </w:r>
      <w:r>
        <w:rPr>
          <w:rFonts w:hint="eastAsia" w:ascii="仿宋_GB2312" w:hAnsi="仿宋_GB2312" w:eastAsia="仿宋_GB2312" w:cs="仿宋_GB2312"/>
          <w:bCs/>
          <w:sz w:val="28"/>
          <w:szCs w:val="28"/>
        </w:rPr>
        <w:t xml:space="preserve">）支付方式：银行转账。 </w:t>
      </w:r>
    </w:p>
    <w:p w14:paraId="71CB9F2E">
      <w:pPr>
        <w:autoSpaceDE w:val="0"/>
        <w:autoSpaceDN w:val="0"/>
        <w:adjustRightInd w:val="0"/>
        <w:snapToGrid w:val="0"/>
        <w:spacing w:line="360" w:lineRule="auto"/>
        <w:ind w:firstLine="560"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四</w:t>
      </w:r>
      <w:r>
        <w:rPr>
          <w:rFonts w:hint="eastAsia" w:ascii="仿宋_GB2312" w:hAnsi="仿宋_GB2312" w:eastAsia="仿宋_GB2312" w:cs="仿宋_GB2312"/>
          <w:bCs/>
          <w:sz w:val="28"/>
          <w:szCs w:val="28"/>
        </w:rPr>
        <w:t>）结算方式：乙方在每次接受甲方付款前，开具等额发票给甲方。</w:t>
      </w:r>
    </w:p>
    <w:p w14:paraId="1788A3C5">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第四条：</w:t>
      </w:r>
      <w:r>
        <w:rPr>
          <w:rFonts w:hint="eastAsia" w:ascii="仿宋_GB2312" w:hAnsi="仿宋_GB2312" w:eastAsia="仿宋_GB2312" w:cs="仿宋_GB2312"/>
          <w:b/>
          <w:bCs/>
          <w:sz w:val="28"/>
          <w:szCs w:val="28"/>
        </w:rPr>
        <w:t>双方的权利和义务</w:t>
      </w:r>
    </w:p>
    <w:p w14:paraId="5444B9CF">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pPr>
      <w:r>
        <w:rPr>
          <w:rFonts w:hint="eastAsia" w:ascii="宋体" w:hAnsi="宋体" w:eastAsia="宋体" w:cs="宋体"/>
          <w:color w:val="000000"/>
          <w:kern w:val="0"/>
          <w:sz w:val="28"/>
          <w:szCs w:val="28"/>
          <w:lang w:val="en-US" w:eastAsia="zh-CN" w:bidi="ar"/>
        </w:rPr>
        <w:t>（一）甲方的权利与义务</w:t>
      </w:r>
    </w:p>
    <w:p w14:paraId="5E4B8CA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1.甲方有权享有乙方按照约定提供的服务。</w:t>
      </w:r>
    </w:p>
    <w:p w14:paraId="58DEC58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2.甲方有权要求乙方按合同约定时间完成合同任务。</w:t>
      </w:r>
    </w:p>
    <w:p w14:paraId="4D52373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3.甲方在收到乙方通知后，应按采购文件的需求对项目所用货物进行核实，如发现不符合合同规定或短缺，及时提出。</w:t>
      </w:r>
    </w:p>
    <w:p w14:paraId="117D28F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4.保存所有的当前程序并完成数据的备份，约束其员工正确使用和应用产品。</w:t>
      </w:r>
    </w:p>
    <w:p w14:paraId="4C42DE8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5.负责提供培训场地，组织参加培训的人员按时出席。</w:t>
      </w:r>
    </w:p>
    <w:p w14:paraId="35A56B2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6.依据合同协助乙方完成验收等相关事宜并按照合同要求支付费用。</w:t>
      </w:r>
    </w:p>
    <w:p w14:paraId="51F7405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pPr>
      <w:r>
        <w:rPr>
          <w:rFonts w:hint="eastAsia" w:ascii="宋体" w:hAnsi="宋体" w:eastAsia="宋体" w:cs="宋体"/>
          <w:color w:val="000000"/>
          <w:kern w:val="0"/>
          <w:sz w:val="28"/>
          <w:szCs w:val="28"/>
          <w:lang w:val="en-US" w:eastAsia="zh-CN" w:bidi="ar"/>
        </w:rPr>
        <w:t>（二）乙方的权利与义务</w:t>
      </w:r>
    </w:p>
    <w:p w14:paraId="41D6580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1.乙方有权要求甲方为乙方履行本合同提供便利，要求甲方提供必需的相关资料。</w:t>
      </w:r>
    </w:p>
    <w:p w14:paraId="101A206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2.乙方有权要求甲方按本合同约定支付费用。</w:t>
      </w:r>
    </w:p>
    <w:p w14:paraId="1F8F4D0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3.甲方订购的设备，乙方必须要组织甲方现场考察并得到甲方认可，及时交付产品。</w:t>
      </w:r>
    </w:p>
    <w:p w14:paraId="6AD585D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4.乙方保证其所交付的产品没有侵犯任何第三人的知识产权和商业秘密。</w:t>
      </w:r>
    </w:p>
    <w:p w14:paraId="268C0B5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5.乙方应按合同约定提供项目相关的技术文档材料。</w:t>
      </w:r>
    </w:p>
    <w:p w14:paraId="4BF5C95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6.对双方共同确认的甲方受训人员提供集中培训服务不少于2次。</w:t>
      </w:r>
    </w:p>
    <w:p w14:paraId="3332A2D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7.按照双方确认的期限负责产品的安装、测试、调试工作及后续的维护工作。</w:t>
      </w:r>
    </w:p>
    <w:p w14:paraId="4EA0C694">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第五条：验收</w:t>
      </w:r>
    </w:p>
    <w:p w14:paraId="2A36774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（一）由甲方组织实施验收。</w:t>
      </w:r>
    </w:p>
    <w:p w14:paraId="2B8312B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（二）验收依据：行业质量验收标准，系统运行、数据上报、业务对接正常。</w:t>
      </w:r>
    </w:p>
    <w:p w14:paraId="2F363D3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1.本合同及附加文本；</w:t>
      </w:r>
    </w:p>
    <w:p w14:paraId="25B814F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2.磋商文件、成交供应商的响应文件及澄清（承诺）函；</w:t>
      </w:r>
    </w:p>
    <w:p w14:paraId="62A773C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3.国家相应的标准、规范。</w:t>
      </w:r>
    </w:p>
    <w:p w14:paraId="26FE207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三）如项目未通过验收的，乙方应在20日内排除故障，进行整改，承担相关费用。甲方应在收到乙方验收申请后20日内完成验收工作，未提出书面异议的，视为项目验收合格；若甲方认为乙方交付的产品存在不符合合同约定情形的，应在前述20日期限内提出书面异议，双方友好协商解决。乙方应在双方确认的期限内用符合本合同约定的产品更换或整改产品，乙方承担更换或整改产品产生的所有费用，乙方更换或整改产品后再次申请验收。</w:t>
      </w:r>
    </w:p>
    <w:p w14:paraId="32B6C10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（四）本项目实施过程中，项目的内容、要求、验收、使用标准以采购文件要求为依据，若甲方中途变更方案或产品以及由此引起的相应费用的变化，双方另行协商达成一致意见后以书面形式确定。</w:t>
      </w:r>
    </w:p>
    <w:p w14:paraId="0ABB799A">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第六条：服务</w:t>
      </w:r>
      <w:r>
        <w:rPr>
          <w:rFonts w:hint="eastAsia" w:ascii="宋体" w:hAnsi="宋体" w:cs="宋体"/>
          <w:b/>
          <w:bCs/>
          <w:color w:val="000000"/>
          <w:kern w:val="0"/>
          <w:sz w:val="28"/>
          <w:szCs w:val="28"/>
          <w:lang w:val="en-US" w:eastAsia="zh-CN" w:bidi="ar"/>
        </w:rPr>
        <w:t>承诺</w:t>
      </w:r>
      <w:r>
        <w:rPr>
          <w:rFonts w:hint="eastAsia" w:ascii="宋体" w:hAnsi="宋体" w:eastAsia="宋体" w:cs="宋体"/>
          <w:b/>
          <w:bCs/>
          <w:color w:val="000000"/>
          <w:kern w:val="0"/>
          <w:sz w:val="28"/>
          <w:szCs w:val="28"/>
          <w:lang w:val="en-US" w:eastAsia="zh-CN" w:bidi="ar"/>
        </w:rPr>
        <w:t xml:space="preserve"> </w:t>
      </w:r>
    </w:p>
    <w:p w14:paraId="7AB26CF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1、乙方每次上门提供排查、维护服务的持续服务时间不得短于72小时；如72小时内未能排除故障，乙方应做出合理解释，提供相应有效解决方案，经甲方认可后免费实施直至故障彻底排除。</w:t>
      </w:r>
    </w:p>
    <w:p w14:paraId="3656BD9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2、乙方保证不影响甲方正常业务和保证数据完整的前提下进行实施工作。并承担由此工作带来的所有责任和造成的经济损失。</w:t>
      </w:r>
    </w:p>
    <w:p w14:paraId="6024C0B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3、整体项目竣工验收合格后进入质保期，质保期为一年。</w:t>
      </w:r>
    </w:p>
    <w:p w14:paraId="06CEA27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4、乙方指定专业项目经理专职负责整体项目实施。甲方有权要求乙方更换项目专职经理。</w:t>
      </w:r>
    </w:p>
    <w:p w14:paraId="0CFCE4E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当产品不能正常运行时，应在接到甲方书面或口头通知后1小时内予以有效响应，明确告知甲方故障排查方案及预计处理时效，提供电话、网络远程等技术支持，如果通过以上方式仍不能正常运行的，乙方必须在24小时内到达现场进行维护。</w:t>
      </w:r>
    </w:p>
    <w:p w14:paraId="074F3DC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6、在设备系统投入使用前，必须对各应用设备系统相关人员进行免费业务技术培训，对甲方管理人员免费提供具有针对性的系统培训，培训内容应包括设备操作、日常维护、常见故障排查、数据导出分析等全部相关内容，优先采用现场实操培训方式，每次培训时长不少于2个工作日；经3次培训后仍有甲方人员未完全掌握的，乙方应免费提供后续上门指导服务，不得额外收取任何费用。培训方式由双方商定，若需异地培训，因异地培训产生的所有费用由乙方承担。</w:t>
      </w:r>
    </w:p>
    <w:p w14:paraId="4F95A81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7、保修、质保期内，维修费用、乙方维修人员的差旅费及其它相关费用均由乙方承担。</w:t>
      </w:r>
    </w:p>
    <w:p w14:paraId="561C954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8、乙方提供产品应无任何瑕疵，如在使用过程中本产品存在隐蔽瑕疵造成事故而引发的纠纷，由乙方全额负责赔偿，并免费为甲方修复瑕疵或更新换代，期间产生的费用均由乙方承担。</w:t>
      </w:r>
    </w:p>
    <w:p w14:paraId="63E7B656">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 xml:space="preserve">第七条：知识产权及保密条款 </w:t>
      </w:r>
    </w:p>
    <w:p w14:paraId="1D785BAF">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1.乙方保证其提供本合同项下的产品具备相应资质，为履行本合同而使用的产品不存在权利瑕疵或侵害第三人利益的情形。</w:t>
      </w:r>
    </w:p>
    <w:p w14:paraId="104B798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2.本项目涉及的保密内容包括技术信息、经营信息等，双方都有责任对对方提供的技术情报、资料数据及商业秘密保密，不得向第三方泄露。</w:t>
      </w:r>
    </w:p>
    <w:p w14:paraId="3F03F38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 xml:space="preserve">3.未经对方同意，任何一方不得以任何形式公开本合同及附件内容。双方在未征得对方同意的情况下，不得向第三方泄露在项目中接触到的需要保密的信息和资料。不得为任何本合同之外的其他目的而自行使用或允许他人使用从对方获得的信息（包括但不限于所有的报告、摘录、纪要、文件、计划、报表、复印件等）。 </w:t>
      </w:r>
    </w:p>
    <w:p w14:paraId="1C7F14C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 xml:space="preserve">4.负有保密义务的人员范围为甲乙双方参与及知悉项目的所有人员，双方负有永久保密义务。 </w:t>
      </w:r>
    </w:p>
    <w:p w14:paraId="6266C433">
      <w:pPr>
        <w:autoSpaceDE w:val="0"/>
        <w:autoSpaceDN w:val="0"/>
        <w:adjustRightInd w:val="0"/>
        <w:snapToGrid w:val="0"/>
        <w:spacing w:line="360" w:lineRule="auto"/>
        <w:ind w:firstLine="560" w:firstLineChars="200"/>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5.本项目项下产生数据资料、统计资料等电子信息所有权属于甲方，未经甲方书面同意，乙方不得以任何方式使用或变相使用，不得以任何方式向第三方披露，否则，乙方应当向甲方赔偿损失。</w:t>
      </w:r>
    </w:p>
    <w:p w14:paraId="4159666B">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 xml:space="preserve">第八条：违约责任 </w:t>
      </w:r>
    </w:p>
    <w:p w14:paraId="20F67AD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1、乙方如未按照本合同约定时间完成安装、调试等建设项目任务，每逾期一天应向甲方支付本合同总价款0.5‰的违约金，违约金总额以本合同总价款的30%为上限。乙方逾期超过30天的，甲方有权解除合同。</w:t>
      </w:r>
    </w:p>
    <w:p w14:paraId="3F37204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如乙方交付的产品数量、品种、规格、质量不符合国家标准和合同约定的，由乙方负责包换、退货，并承担由此给甲方造成的所有经济损失。</w:t>
      </w:r>
    </w:p>
    <w:p w14:paraId="143093E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乙方收到甲方整改要求后逾期更换或整改产品的，每逾期一日按合同总价款的0.5‰向甲方支付违约金，逾期超过30日的，甲方有权直接解除合同并要求乙方承担合同总价款20%的违约金。</w:t>
      </w:r>
    </w:p>
    <w:p w14:paraId="03B31C0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2、除前款约定外，乙方未按合同要求提供产品或提供虚假材料，且质量不能满足技术要求的，甲方有权解除合同，并对乙方的违法、违约行为进行追究。</w:t>
      </w:r>
    </w:p>
    <w:p w14:paraId="0E71149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乙方确保甲方购买的产品拥有合法、完整且不受任何第三方权利主张影响的知识产权（包括但不限于著作权、专利权、商标权等），均为合法授权的正版产品。如因甲方购买、使用本合同项下全部产品（包括配套设备、软件、系统及数据服务等）引起或涉及与任何第三方发生法律、经济纠纷或权利主张的，乙方应承担全部责任并积极参与处理，承担甲方因此遭受的全部损失（包括但不限于赔偿费、律师费、交通费、诉讼费、公告费、保全费、保全担保费等）。乙方并应退还甲方已支付的全部款项，并按合同价款总额的20%向甲方支付违约金。</w:t>
      </w:r>
    </w:p>
    <w:p w14:paraId="3BDCA72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4、甲方未按合同约定提供工作条件或完成配合事项，或者提供工作条件、完成配合事项不符合合同约定影响项目进度和质量的，项目交付期限相应顺延。</w:t>
      </w:r>
    </w:p>
    <w:p w14:paraId="0C4701E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5、因甲方违约导致本合同解除的，乙方有权按已履行完毕的服务内容向甲方收取对应合同价款。</w:t>
      </w:r>
    </w:p>
    <w:p w14:paraId="71EC0E97">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第九条：不可抗力</w:t>
      </w:r>
    </w:p>
    <w:p w14:paraId="226C756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如果由于无法预见并且对其发生和后果无法防止或避免的事件，如地震、水灾、火灾和其他自然灾害、战争、暴动和类似的军事行动，民间骚动以及政府的禁运令、禁止令或其他政府限制和行动，或者其他阻止一方履行本合同义务的任何事件或原因（统称：不可抗力事件）。直接致使遇到上述事件的一方（即受阻方）不能履行本合同约定的全部或部分义务的，受阻方应立即书面通知另一方，并在不可抗力事件发生后十五个工作日内提供有关该事件的权威机关的书面材料，包括陈述迟延履行、部分履行或无法履行本合同义务的理由的说明书，方可免责。</w:t>
      </w:r>
    </w:p>
    <w:p w14:paraId="7398B3ED">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 xml:space="preserve">第十条：纠纷的解决 </w:t>
      </w:r>
    </w:p>
    <w:p w14:paraId="6678F9B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（一）本合同在履行过程中发生的争议，由甲、乙双方当事人协商解决，协商不成的按下列第 2 种方式解决：</w:t>
      </w:r>
    </w:p>
    <w:p w14:paraId="5869DD4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1.提交西安市仲裁委员会仲裁；</w:t>
      </w:r>
    </w:p>
    <w:p w14:paraId="375EBD7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2.依法向甲方所在地人民法院起诉。</w:t>
      </w:r>
    </w:p>
    <w:p w14:paraId="1B01545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（二）因质量问题发生的争议，由国家权威技术单位进行质量鉴定，该鉴定结论为最终结果，甲乙双方应当接受。</w:t>
      </w:r>
    </w:p>
    <w:p w14:paraId="3F211818">
      <w:pPr>
        <w:autoSpaceDE w:val="0"/>
        <w:autoSpaceDN w:val="0"/>
        <w:adjustRightInd w:val="0"/>
        <w:snapToGrid w:val="0"/>
        <w:spacing w:line="360" w:lineRule="auto"/>
        <w:ind w:firstLine="562" w:firstLineChars="200"/>
      </w:pPr>
      <w:r>
        <w:rPr>
          <w:rFonts w:hint="eastAsia" w:ascii="宋体" w:hAnsi="宋体" w:eastAsia="宋体" w:cs="宋体"/>
          <w:b/>
          <w:bCs/>
          <w:color w:val="000000"/>
          <w:kern w:val="0"/>
          <w:sz w:val="28"/>
          <w:szCs w:val="28"/>
          <w:lang w:val="en-US" w:eastAsia="zh-CN" w:bidi="ar"/>
        </w:rPr>
        <w:t>第十一条：</w:t>
      </w:r>
      <w:r>
        <w:rPr>
          <w:rFonts w:hint="eastAsia" w:ascii="仿宋_GB2312" w:hAnsi="仿宋_GB2312" w:eastAsia="仿宋_GB2312" w:cs="仿宋_GB2312"/>
          <w:bCs/>
          <w:sz w:val="28"/>
          <w:szCs w:val="28"/>
          <w:lang w:val="en-US" w:eastAsia="zh-CN"/>
        </w:rPr>
        <w:t xml:space="preserve">本合同一式 </w:t>
      </w:r>
      <w:r>
        <w:rPr>
          <w:rFonts w:hint="eastAsia" w:ascii="宋体" w:hAnsi="宋体" w:eastAsia="宋体" w:cs="宋体"/>
          <w:b/>
          <w:bCs/>
          <w:color w:val="000000"/>
          <w:kern w:val="0"/>
          <w:sz w:val="28"/>
          <w:szCs w:val="28"/>
          <w:lang w:val="en-US" w:eastAsia="zh-CN" w:bidi="ar"/>
        </w:rPr>
        <w:t>捌</w:t>
      </w:r>
      <w:r>
        <w:rPr>
          <w:rFonts w:hint="eastAsia" w:ascii="宋体" w:hAnsi="宋体" w:eastAsia="宋体" w:cs="宋体"/>
          <w:color w:val="000000"/>
          <w:kern w:val="0"/>
          <w:sz w:val="28"/>
          <w:szCs w:val="28"/>
          <w:lang w:val="en-US" w:eastAsia="zh-CN" w:bidi="ar"/>
        </w:rPr>
        <w:t xml:space="preserve"> </w:t>
      </w:r>
      <w:r>
        <w:rPr>
          <w:rFonts w:hint="eastAsia" w:ascii="仿宋_GB2312" w:hAnsi="仿宋_GB2312" w:eastAsia="仿宋_GB2312" w:cs="仿宋_GB2312"/>
          <w:bCs/>
          <w:sz w:val="28"/>
          <w:szCs w:val="28"/>
          <w:lang w:val="en-US" w:eastAsia="zh-CN"/>
        </w:rPr>
        <w:t>份</w:t>
      </w:r>
      <w:r>
        <w:rPr>
          <w:rFonts w:hint="eastAsia" w:ascii="宋体" w:hAnsi="宋体" w:eastAsia="宋体" w:cs="宋体"/>
          <w:b/>
          <w:bCs/>
          <w:color w:val="000000"/>
          <w:kern w:val="0"/>
          <w:sz w:val="28"/>
          <w:szCs w:val="28"/>
          <w:lang w:val="en-US" w:eastAsia="zh-CN" w:bidi="ar"/>
        </w:rPr>
        <w:t>，</w:t>
      </w:r>
      <w:r>
        <w:rPr>
          <w:rFonts w:hint="eastAsia" w:ascii="仿宋_GB2312" w:hAnsi="仿宋_GB2312" w:eastAsia="仿宋_GB2312" w:cs="仿宋_GB2312"/>
          <w:bCs/>
          <w:sz w:val="28"/>
          <w:szCs w:val="28"/>
          <w:lang w:val="en-US" w:eastAsia="zh-CN"/>
        </w:rPr>
        <w:t>甲方</w:t>
      </w:r>
      <w:r>
        <w:rPr>
          <w:rFonts w:hint="eastAsia" w:ascii="宋体" w:hAnsi="宋体" w:eastAsia="宋体" w:cs="宋体"/>
          <w:color w:val="000000"/>
          <w:kern w:val="0"/>
          <w:sz w:val="28"/>
          <w:szCs w:val="28"/>
          <w:lang w:val="en-US" w:eastAsia="zh-CN" w:bidi="ar"/>
        </w:rPr>
        <w:t xml:space="preserve"> </w:t>
      </w:r>
      <w:r>
        <w:rPr>
          <w:rFonts w:hint="eastAsia" w:ascii="宋体" w:hAnsi="宋体" w:cs="宋体"/>
          <w:b/>
          <w:bCs/>
          <w:color w:val="000000"/>
          <w:kern w:val="0"/>
          <w:sz w:val="28"/>
          <w:szCs w:val="28"/>
          <w:lang w:val="en-US" w:eastAsia="zh-CN" w:bidi="ar"/>
        </w:rPr>
        <w:t>伍</w:t>
      </w:r>
      <w:r>
        <w:rPr>
          <w:rFonts w:hint="eastAsia" w:ascii="仿宋_GB2312" w:hAnsi="仿宋_GB2312" w:eastAsia="仿宋_GB2312" w:cs="仿宋_GB2312"/>
          <w:bCs/>
          <w:sz w:val="28"/>
          <w:szCs w:val="28"/>
          <w:lang w:val="en-US" w:eastAsia="zh-CN"/>
        </w:rPr>
        <w:t>份</w:t>
      </w:r>
      <w:r>
        <w:rPr>
          <w:rFonts w:hint="eastAsia" w:ascii="宋体" w:hAnsi="宋体" w:eastAsia="宋体" w:cs="宋体"/>
          <w:b/>
          <w:bCs/>
          <w:color w:val="000000"/>
          <w:kern w:val="0"/>
          <w:sz w:val="28"/>
          <w:szCs w:val="28"/>
          <w:lang w:val="en-US" w:eastAsia="zh-CN" w:bidi="ar"/>
        </w:rPr>
        <w:t>，</w:t>
      </w:r>
      <w:r>
        <w:rPr>
          <w:rFonts w:hint="eastAsia" w:ascii="仿宋_GB2312" w:hAnsi="仿宋_GB2312" w:eastAsia="仿宋_GB2312" w:cs="仿宋_GB2312"/>
          <w:bCs/>
          <w:sz w:val="28"/>
          <w:szCs w:val="28"/>
          <w:lang w:val="en-US" w:eastAsia="zh-CN"/>
        </w:rPr>
        <w:t xml:space="preserve">乙方 </w:t>
      </w:r>
      <w:r>
        <w:rPr>
          <w:rFonts w:hint="eastAsia" w:ascii="宋体" w:hAnsi="宋体" w:eastAsia="宋体" w:cs="宋体"/>
          <w:b/>
          <w:bCs/>
          <w:color w:val="000000"/>
          <w:kern w:val="0"/>
          <w:sz w:val="28"/>
          <w:szCs w:val="28"/>
          <w:lang w:val="en-US" w:eastAsia="zh-CN" w:bidi="ar"/>
        </w:rPr>
        <w:t xml:space="preserve">贰 </w:t>
      </w:r>
      <w:r>
        <w:rPr>
          <w:rFonts w:hint="eastAsia" w:ascii="仿宋_GB2312" w:hAnsi="仿宋_GB2312" w:eastAsia="仿宋_GB2312" w:cs="仿宋_GB2312"/>
          <w:bCs/>
          <w:sz w:val="28"/>
          <w:szCs w:val="28"/>
          <w:lang w:val="en-US" w:eastAsia="zh-CN"/>
        </w:rPr>
        <w:t>份</w:t>
      </w:r>
      <w:r>
        <w:rPr>
          <w:rFonts w:hint="eastAsia" w:ascii="宋体" w:hAnsi="宋体" w:eastAsia="宋体" w:cs="宋体"/>
          <w:b/>
          <w:bCs/>
          <w:color w:val="000000"/>
          <w:kern w:val="0"/>
          <w:sz w:val="28"/>
          <w:szCs w:val="28"/>
          <w:lang w:val="en-US" w:eastAsia="zh-CN" w:bidi="ar"/>
        </w:rPr>
        <w:t>，</w:t>
      </w:r>
      <w:r>
        <w:rPr>
          <w:rFonts w:hint="eastAsia" w:ascii="仿宋_GB2312" w:hAnsi="仿宋_GB2312" w:eastAsia="仿宋_GB2312" w:cs="仿宋_GB2312"/>
          <w:bCs/>
          <w:sz w:val="28"/>
          <w:szCs w:val="28"/>
          <w:lang w:val="en-US" w:eastAsia="zh-CN"/>
        </w:rPr>
        <w:t>鉴证方</w:t>
      </w:r>
      <w:r>
        <w:rPr>
          <w:rFonts w:hint="eastAsia" w:ascii="宋体" w:hAnsi="宋体" w:cs="宋体"/>
          <w:b w:val="0"/>
          <w:bCs w:val="0"/>
          <w:color w:val="000000"/>
          <w:kern w:val="0"/>
          <w:sz w:val="28"/>
          <w:szCs w:val="28"/>
          <w:lang w:val="en-US" w:eastAsia="zh-CN" w:bidi="ar"/>
        </w:rPr>
        <w:t xml:space="preserve"> </w:t>
      </w:r>
      <w:r>
        <w:rPr>
          <w:rFonts w:hint="eastAsia" w:ascii="宋体" w:hAnsi="宋体" w:cs="宋体"/>
          <w:b/>
          <w:bCs/>
          <w:color w:val="000000"/>
          <w:kern w:val="0"/>
          <w:sz w:val="28"/>
          <w:szCs w:val="28"/>
          <w:lang w:val="en-US" w:eastAsia="zh-CN" w:bidi="ar"/>
        </w:rPr>
        <w:t>壹</w:t>
      </w:r>
      <w:r>
        <w:rPr>
          <w:rFonts w:hint="eastAsia" w:ascii="宋体" w:hAnsi="宋体" w:cs="宋体"/>
          <w:b w:val="0"/>
          <w:bCs w:val="0"/>
          <w:color w:val="000000"/>
          <w:kern w:val="0"/>
          <w:sz w:val="28"/>
          <w:szCs w:val="28"/>
          <w:lang w:val="en-US" w:eastAsia="zh-CN" w:bidi="ar"/>
        </w:rPr>
        <w:t>份</w:t>
      </w:r>
      <w:r>
        <w:rPr>
          <w:rFonts w:hint="eastAsia" w:ascii="宋体" w:hAnsi="宋体" w:cs="宋体"/>
          <w:b/>
          <w:bCs/>
          <w:color w:val="000000"/>
          <w:kern w:val="0"/>
          <w:sz w:val="28"/>
          <w:szCs w:val="28"/>
          <w:lang w:val="en-US" w:eastAsia="zh-CN" w:bidi="ar"/>
        </w:rPr>
        <w:t>，</w:t>
      </w:r>
      <w:r>
        <w:rPr>
          <w:rFonts w:hint="eastAsia" w:ascii="仿宋_GB2312" w:hAnsi="仿宋_GB2312" w:eastAsia="仿宋_GB2312" w:cs="仿宋_GB2312"/>
          <w:bCs/>
          <w:sz w:val="28"/>
          <w:szCs w:val="28"/>
          <w:lang w:val="en-US" w:eastAsia="zh-CN"/>
        </w:rPr>
        <w:t>均具有同等法律效力。</w:t>
      </w:r>
    </w:p>
    <w:p w14:paraId="4F51FB6A">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第十二条：</w:t>
      </w:r>
      <w:r>
        <w:rPr>
          <w:rFonts w:hint="eastAsia" w:ascii="仿宋_GB2312" w:hAnsi="仿宋_GB2312" w:eastAsia="仿宋_GB2312" w:cs="仿宋_GB2312"/>
          <w:bCs/>
          <w:sz w:val="28"/>
          <w:szCs w:val="28"/>
          <w:lang w:val="en-US" w:eastAsia="zh-CN"/>
        </w:rPr>
        <w:t>本合同未尽事宜，由甲、乙双方另行签订补充协议，补充协议作为合同附件与本合同具有同等法律效力。</w:t>
      </w:r>
      <w:r>
        <w:rPr>
          <w:rFonts w:hint="eastAsia" w:ascii="宋体" w:hAnsi="宋体" w:eastAsia="宋体" w:cs="宋体"/>
          <w:color w:val="000000"/>
          <w:kern w:val="0"/>
          <w:sz w:val="28"/>
          <w:szCs w:val="28"/>
          <w:lang w:val="en-US" w:eastAsia="zh-CN" w:bidi="ar"/>
        </w:rPr>
        <w:t xml:space="preserve"> </w:t>
      </w:r>
    </w:p>
    <w:p w14:paraId="679928C5">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第十三条：</w:t>
      </w:r>
      <w:r>
        <w:rPr>
          <w:rFonts w:hint="eastAsia" w:ascii="仿宋_GB2312" w:hAnsi="仿宋_GB2312" w:eastAsia="仿宋_GB2312" w:cs="仿宋_GB2312"/>
          <w:bCs/>
          <w:sz w:val="28"/>
          <w:szCs w:val="28"/>
          <w:lang w:val="en-US" w:eastAsia="zh-CN"/>
        </w:rPr>
        <w:t>本合同自甲、乙双方正式授权代表签字并加盖公章之日起生效。</w:t>
      </w:r>
    </w:p>
    <w:p w14:paraId="7558EDB6">
      <w:pPr>
        <w:autoSpaceDE w:val="0"/>
        <w:autoSpaceDN w:val="0"/>
        <w:adjustRightInd w:val="0"/>
        <w:snapToGrid w:val="0"/>
        <w:spacing w:line="360" w:lineRule="auto"/>
        <w:ind w:firstLine="562" w:firstLineChars="200"/>
      </w:pPr>
      <w:r>
        <w:rPr>
          <w:rFonts w:hint="eastAsia" w:ascii="宋体" w:hAnsi="宋体" w:eastAsia="宋体" w:cs="宋体"/>
          <w:b/>
          <w:bCs/>
          <w:color w:val="000000"/>
          <w:kern w:val="0"/>
          <w:sz w:val="28"/>
          <w:szCs w:val="28"/>
          <w:lang w:val="en-US" w:eastAsia="zh-CN" w:bidi="ar"/>
        </w:rPr>
        <w:t>第十四条</w:t>
      </w:r>
      <w:r>
        <w:rPr>
          <w:rFonts w:hint="eastAsia" w:ascii="仿宋_GB2312" w:hAnsi="仿宋_GB2312" w:eastAsia="仿宋_GB2312" w:cs="仿宋_GB2312"/>
          <w:bCs/>
          <w:sz w:val="28"/>
          <w:szCs w:val="28"/>
          <w:lang w:val="en-US" w:eastAsia="zh-CN"/>
        </w:rPr>
        <w:t>：本合同有效期自生效之日起至合同执行完毕时止。</w:t>
      </w:r>
    </w:p>
    <w:p w14:paraId="7B501D03">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第十五条：</w:t>
      </w:r>
      <w:r>
        <w:rPr>
          <w:rFonts w:hint="eastAsia" w:ascii="仿宋_GB2312" w:hAnsi="仿宋_GB2312" w:eastAsia="仿宋_GB2312" w:cs="仿宋_GB2312"/>
          <w:bCs/>
          <w:sz w:val="28"/>
          <w:szCs w:val="28"/>
          <w:lang w:val="en-US" w:eastAsia="zh-CN"/>
        </w:rPr>
        <w:t>本合同应当按照中华人民共和国的现行法律法规进行解释。</w:t>
      </w:r>
    </w:p>
    <w:p w14:paraId="5CCC82D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（以下无正文，为合同签署页）</w:t>
      </w:r>
    </w:p>
    <w:tbl>
      <w:tblPr>
        <w:tblStyle w:val="5"/>
        <w:tblW w:w="10301"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4"/>
        <w:gridCol w:w="3390"/>
        <w:gridCol w:w="3497"/>
      </w:tblGrid>
      <w:tr w14:paraId="04D6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4CB8161A">
            <w:pPr>
              <w:autoSpaceDE w:val="0"/>
              <w:autoSpaceDN w:val="0"/>
              <w:adjustRightInd w:val="0"/>
              <w:spacing w:line="360" w:lineRule="auto"/>
              <w:jc w:val="center"/>
              <w:rPr>
                <w:rFonts w:ascii="仿宋_GB2312" w:hAnsi="宋体" w:eastAsia="仿宋_GB2312"/>
                <w:spacing w:val="-20"/>
                <w:kern w:val="0"/>
                <w:sz w:val="28"/>
                <w:szCs w:val="20"/>
              </w:rPr>
            </w:pPr>
            <w:r>
              <w:rPr>
                <w:rFonts w:hint="eastAsia" w:ascii="仿宋_GB2312" w:hAnsi="宋体" w:eastAsia="仿宋_GB2312"/>
                <w:spacing w:val="-20"/>
                <w:kern w:val="0"/>
                <w:sz w:val="28"/>
                <w:szCs w:val="20"/>
              </w:rPr>
              <w:t>甲  方</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355011CE">
            <w:pPr>
              <w:autoSpaceDE w:val="0"/>
              <w:autoSpaceDN w:val="0"/>
              <w:adjustRightInd w:val="0"/>
              <w:spacing w:line="360" w:lineRule="auto"/>
              <w:jc w:val="center"/>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乙  方</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3B05BB34">
            <w:pPr>
              <w:autoSpaceDE w:val="0"/>
              <w:autoSpaceDN w:val="0"/>
              <w:adjustRightInd w:val="0"/>
              <w:spacing w:line="360" w:lineRule="auto"/>
              <w:jc w:val="center"/>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鉴 证 方</w:t>
            </w:r>
          </w:p>
        </w:tc>
      </w:tr>
      <w:tr w14:paraId="1468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center"/>
          </w:tcPr>
          <w:p w14:paraId="10A45F30">
            <w:pPr>
              <w:autoSpaceDE w:val="0"/>
              <w:autoSpaceDN w:val="0"/>
              <w:adjustRightInd w:val="0"/>
              <w:spacing w:line="360" w:lineRule="auto"/>
              <w:jc w:val="left"/>
              <w:rPr>
                <w:rFonts w:hint="eastAsia" w:ascii="仿宋_GB2312" w:hAnsi="宋体" w:eastAsia="仿宋_GB2312"/>
                <w:spacing w:val="-20"/>
                <w:kern w:val="0"/>
                <w:sz w:val="28"/>
                <w:szCs w:val="20"/>
              </w:rPr>
            </w:pPr>
          </w:p>
          <w:p w14:paraId="277CE09F">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（盖章）</w:t>
            </w:r>
          </w:p>
        </w:tc>
        <w:tc>
          <w:tcPr>
            <w:tcW w:w="3390" w:type="dxa"/>
            <w:tcBorders>
              <w:top w:val="single" w:color="auto" w:sz="4" w:space="0"/>
              <w:left w:val="single" w:color="auto" w:sz="4" w:space="0"/>
              <w:bottom w:val="single" w:color="auto" w:sz="4" w:space="0"/>
              <w:right w:val="single" w:color="auto" w:sz="4" w:space="0"/>
            </w:tcBorders>
            <w:noWrap w:val="0"/>
            <w:vAlign w:val="center"/>
          </w:tcPr>
          <w:p w14:paraId="0731B430">
            <w:pPr>
              <w:autoSpaceDE w:val="0"/>
              <w:autoSpaceDN w:val="0"/>
              <w:adjustRightInd w:val="0"/>
              <w:spacing w:line="360" w:lineRule="auto"/>
              <w:jc w:val="left"/>
              <w:rPr>
                <w:rFonts w:hint="eastAsia" w:ascii="仿宋_GB2312" w:hAnsi="宋体" w:eastAsia="仿宋_GB2312"/>
                <w:spacing w:val="-20"/>
                <w:kern w:val="0"/>
                <w:sz w:val="28"/>
                <w:szCs w:val="20"/>
              </w:rPr>
            </w:pPr>
          </w:p>
          <w:p w14:paraId="4F90B562">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（盖章）</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3119FD26">
            <w:pPr>
              <w:autoSpaceDE w:val="0"/>
              <w:autoSpaceDN w:val="0"/>
              <w:adjustRightInd w:val="0"/>
              <w:spacing w:line="360" w:lineRule="auto"/>
              <w:jc w:val="left"/>
              <w:rPr>
                <w:rFonts w:hint="eastAsia" w:ascii="仿宋_GB2312" w:hAnsi="宋体" w:eastAsia="仿宋_GB2312"/>
                <w:spacing w:val="-20"/>
                <w:kern w:val="0"/>
                <w:sz w:val="28"/>
                <w:szCs w:val="20"/>
              </w:rPr>
            </w:pPr>
          </w:p>
          <w:p w14:paraId="0AAD77F6">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（盖章）</w:t>
            </w:r>
          </w:p>
        </w:tc>
      </w:tr>
      <w:tr w14:paraId="6E6FB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310B37CD">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地址：</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50D081C7">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地址：</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54BD4796">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地址：</w:t>
            </w:r>
          </w:p>
        </w:tc>
      </w:tr>
      <w:tr w14:paraId="3E677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122DB40B">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邮编：</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6D70382E">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邮编：</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65CB1E7F">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邮编：</w:t>
            </w:r>
          </w:p>
        </w:tc>
      </w:tr>
      <w:tr w14:paraId="78E0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51E4A85C">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法定代表人：</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7AF97E47">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法定代表人：</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0A73D67D">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法定代表人：</w:t>
            </w:r>
          </w:p>
        </w:tc>
      </w:tr>
      <w:tr w14:paraId="6C16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0BF5DB8C">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被授权代表</w:t>
            </w:r>
            <w:r>
              <w:rPr>
                <w:rFonts w:hint="eastAsia" w:ascii="仿宋_GB2312" w:hAnsi="宋体" w:eastAsia="仿宋_GB2312"/>
                <w:spacing w:val="-20"/>
                <w:kern w:val="0"/>
                <w:sz w:val="28"/>
                <w:szCs w:val="20"/>
                <w:lang w:eastAsia="zh-CN"/>
              </w:rPr>
              <w:t>：</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433A5DBA">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被授权代表</w:t>
            </w:r>
            <w:r>
              <w:rPr>
                <w:rFonts w:hint="eastAsia" w:ascii="仿宋_GB2312" w:hAnsi="宋体" w:eastAsia="仿宋_GB2312"/>
                <w:spacing w:val="-20"/>
                <w:kern w:val="0"/>
                <w:sz w:val="28"/>
                <w:szCs w:val="20"/>
                <w:lang w:eastAsia="zh-CN"/>
              </w:rPr>
              <w:t>：</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1BDB3668">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被授权代表：</w:t>
            </w:r>
          </w:p>
        </w:tc>
      </w:tr>
      <w:tr w14:paraId="48D3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7F1157FA">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电话：</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1366F049">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电话：</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53C3B386">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电话：</w:t>
            </w:r>
          </w:p>
        </w:tc>
      </w:tr>
      <w:tr w14:paraId="30297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14F9F3BF">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传真：</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1D67A420">
            <w:pPr>
              <w:autoSpaceDE w:val="0"/>
              <w:autoSpaceDN w:val="0"/>
              <w:adjustRightInd w:val="0"/>
              <w:spacing w:line="360" w:lineRule="auto"/>
              <w:jc w:val="left"/>
              <w:rPr>
                <w:rFonts w:hint="eastAsia" w:ascii="仿宋_GB2312" w:hAnsi="宋体" w:eastAsia="仿宋_GB2312"/>
                <w:spacing w:val="-20"/>
                <w:kern w:val="0"/>
                <w:sz w:val="28"/>
                <w:szCs w:val="20"/>
                <w:lang w:eastAsia="zh-CN"/>
              </w:rPr>
            </w:pPr>
            <w:r>
              <w:rPr>
                <w:rFonts w:hint="eastAsia" w:ascii="仿宋_GB2312" w:hAnsi="宋体" w:eastAsia="仿宋_GB2312"/>
                <w:spacing w:val="-20"/>
                <w:kern w:val="0"/>
                <w:sz w:val="28"/>
                <w:szCs w:val="20"/>
              </w:rPr>
              <w:t>传真：</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30BA1F96">
            <w:pPr>
              <w:spacing w:line="340" w:lineRule="exac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传真：</w:t>
            </w:r>
          </w:p>
        </w:tc>
      </w:tr>
      <w:tr w14:paraId="3C00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2A73772C">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开户银行：</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283D159C">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开户银行：</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6BD90DCA">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开户银行：</w:t>
            </w:r>
          </w:p>
        </w:tc>
      </w:tr>
      <w:tr w14:paraId="5CD7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16CAD856">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lang w:val="en-US" w:eastAsia="zh-CN"/>
              </w:rPr>
              <w:t>账</w:t>
            </w:r>
            <w:r>
              <w:rPr>
                <w:rFonts w:hint="eastAsia" w:ascii="仿宋_GB2312" w:hAnsi="宋体" w:eastAsia="仿宋_GB2312"/>
                <w:spacing w:val="-20"/>
                <w:kern w:val="0"/>
                <w:sz w:val="28"/>
                <w:szCs w:val="20"/>
              </w:rPr>
              <w:t>号：</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77B5BD12">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lang w:val="en-US" w:eastAsia="zh-CN"/>
              </w:rPr>
              <w:t>账</w:t>
            </w:r>
            <w:r>
              <w:rPr>
                <w:rFonts w:hint="eastAsia" w:ascii="仿宋_GB2312" w:hAnsi="宋体" w:eastAsia="仿宋_GB2312"/>
                <w:spacing w:val="-20"/>
                <w:kern w:val="0"/>
                <w:sz w:val="28"/>
                <w:szCs w:val="20"/>
              </w:rPr>
              <w:t>号：</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0C7BF115">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lang w:val="en-US" w:eastAsia="zh-CN"/>
              </w:rPr>
              <w:t>账</w:t>
            </w:r>
            <w:r>
              <w:rPr>
                <w:rFonts w:hint="eastAsia" w:ascii="仿宋_GB2312" w:hAnsi="宋体" w:eastAsia="仿宋_GB2312"/>
                <w:spacing w:val="-20"/>
                <w:kern w:val="0"/>
                <w:sz w:val="28"/>
                <w:szCs w:val="20"/>
              </w:rPr>
              <w:t>号：</w:t>
            </w:r>
          </w:p>
        </w:tc>
      </w:tr>
      <w:tr w14:paraId="6CAD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2778D78E">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日期：</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 xml:space="preserve">年 </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 xml:space="preserve"> 月 </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日</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720E6572">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日期：</w:t>
            </w:r>
            <w:r>
              <w:rPr>
                <w:rFonts w:hint="eastAsia" w:ascii="仿宋_GB2312" w:hAnsi="宋体" w:eastAsia="仿宋_GB2312"/>
                <w:spacing w:val="-20"/>
                <w:kern w:val="0"/>
                <w:sz w:val="28"/>
                <w:szCs w:val="20"/>
                <w:lang w:val="en-US" w:eastAsia="zh-CN"/>
              </w:rPr>
              <w:t xml:space="preserve">   </w:t>
            </w:r>
            <w:r>
              <w:rPr>
                <w:rFonts w:ascii="仿宋_GB2312" w:hAnsi="宋体" w:eastAsia="仿宋_GB2312"/>
                <w:spacing w:val="-20"/>
                <w:kern w:val="0"/>
                <w:sz w:val="28"/>
                <w:szCs w:val="20"/>
              </w:rPr>
              <w:t xml:space="preserve"> </w:t>
            </w:r>
            <w:r>
              <w:rPr>
                <w:rFonts w:hint="eastAsia" w:ascii="仿宋_GB2312" w:hAnsi="宋体" w:eastAsia="仿宋_GB2312"/>
                <w:spacing w:val="-20"/>
                <w:kern w:val="0"/>
                <w:sz w:val="28"/>
                <w:szCs w:val="20"/>
              </w:rPr>
              <w:t>年</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 xml:space="preserve">月 </w:t>
            </w:r>
            <w:r>
              <w:rPr>
                <w:rFonts w:ascii="仿宋_GB2312" w:hAnsi="宋体" w:eastAsia="仿宋_GB2312"/>
                <w:spacing w:val="-20"/>
                <w:kern w:val="0"/>
                <w:sz w:val="28"/>
                <w:szCs w:val="20"/>
              </w:rPr>
              <w:t xml:space="preserve"> </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 xml:space="preserve"> 日</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0B687102">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 xml:space="preserve">日期： </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 xml:space="preserve">年 </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月     日</w:t>
            </w:r>
          </w:p>
        </w:tc>
      </w:tr>
    </w:tbl>
    <w:p w14:paraId="3D1DD77B">
      <w:pPr>
        <w:rPr>
          <w:rFonts w:ascii="Times New Roman" w:hAnsi="Times New Roman" w:cs="Times New Roman"/>
        </w:rPr>
      </w:pPr>
    </w:p>
    <w:p w14:paraId="2E0AA679"/>
    <w:p w14:paraId="2FC61D78"/>
    <w:p w14:paraId="5F8B54C4">
      <w:pPr>
        <w:sectPr>
          <w:footerReference r:id="rId5" w:type="default"/>
          <w:pgSz w:w="11906" w:h="16838"/>
          <w:pgMar w:top="1440" w:right="1800" w:bottom="1440" w:left="1800" w:header="851" w:footer="992" w:gutter="0"/>
          <w:pgNumType w:start="1"/>
          <w:cols w:space="425" w:num="1"/>
          <w:docGrid w:type="lines" w:linePitch="312" w:charSpace="0"/>
        </w:sectPr>
      </w:pPr>
    </w:p>
    <w:p w14:paraId="2E017B36">
      <w:pPr>
        <w:pStyle w:val="3"/>
        <w:pageBreakBefore w:val="0"/>
        <w:widowControl w:val="0"/>
        <w:kinsoku/>
        <w:wordWrap/>
        <w:overflowPunct/>
        <w:topLinePunct w:val="0"/>
        <w:autoSpaceDE/>
        <w:autoSpaceDN/>
        <w:bidi w:val="0"/>
        <w:adjustRightInd/>
        <w:snapToGrid/>
        <w:spacing w:before="0" w:after="0" w:line="560" w:lineRule="exact"/>
        <w:ind w:left="0" w:firstLine="643" w:firstLineChars="200"/>
        <w:jc w:val="center"/>
        <w:textAlignment w:val="auto"/>
        <w:rPr>
          <w:rFonts w:hint="eastAsia" w:ascii="Times New Roman" w:hAnsi="Times New Roman" w:cs="Times New Roman"/>
          <w:lang w:val="zh-CN"/>
        </w:rPr>
      </w:pPr>
      <w:bookmarkStart w:id="1" w:name="_GoBack"/>
      <w:bookmarkEnd w:id="1"/>
      <w:r>
        <w:rPr>
          <w:rFonts w:hint="eastAsia" w:ascii="Times New Roman" w:hAnsi="Times New Roman" w:cs="Times New Roman"/>
          <w:lang w:val="zh-CN"/>
        </w:rPr>
        <w:t>拟签订的合同条款文本</w:t>
      </w:r>
    </w:p>
    <w:p w14:paraId="683F40B7">
      <w:pPr>
        <w:pStyle w:val="2"/>
        <w:jc w:val="center"/>
        <w:rPr>
          <w:rFonts w:hint="eastAsia"/>
          <w:lang w:val="zh-CN"/>
        </w:rPr>
      </w:pPr>
      <w:r>
        <w:rPr>
          <w:rFonts w:hint="eastAsia"/>
          <w:lang w:val="zh-CN"/>
        </w:rPr>
        <w:t>（具体以实际签订合同</w:t>
      </w:r>
      <w:r>
        <w:rPr>
          <w:rFonts w:hint="eastAsia"/>
          <w:lang w:val="en-US" w:eastAsia="zh-CN"/>
        </w:rPr>
        <w:t>为准</w:t>
      </w:r>
      <w:r>
        <w:rPr>
          <w:rFonts w:hint="eastAsia"/>
          <w:lang w:val="zh-CN"/>
        </w:rPr>
        <w:t>）</w:t>
      </w:r>
    </w:p>
    <w:p w14:paraId="1312ED4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46B0E3E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w:t>
      </w:r>
      <w:r>
        <w:rPr>
          <w:rFonts w:hint="eastAsia" w:ascii="仿宋_GB2312" w:hAnsi="仿宋_GB2312" w:eastAsia="仿宋_GB2312" w:cs="仿宋_GB2312"/>
          <w:bCs/>
          <w:sz w:val="28"/>
          <w:szCs w:val="28"/>
          <w:lang w:val="en-US" w:eastAsia="zh-CN"/>
        </w:rPr>
        <w:t>成交供应商</w:t>
      </w:r>
      <w:r>
        <w:rPr>
          <w:rFonts w:hint="eastAsia" w:ascii="仿宋_GB2312" w:hAnsi="仿宋_GB2312" w:eastAsia="仿宋_GB2312" w:cs="仿宋_GB2312"/>
          <w:bCs/>
          <w:sz w:val="28"/>
          <w:szCs w:val="28"/>
        </w:rPr>
        <w:t xml:space="preserve">）： </w:t>
      </w:r>
    </w:p>
    <w:p w14:paraId="7B6FE36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鉴</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lang w:eastAsia="zh-CN"/>
        </w:rPr>
        <w:t>证</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lang w:eastAsia="zh-CN"/>
        </w:rPr>
        <w:t>方</w:t>
      </w:r>
      <w:r>
        <w:rPr>
          <w:rFonts w:hint="eastAsia" w:ascii="仿宋_GB2312" w:hAnsi="仿宋_GB2312" w:eastAsia="仿宋_GB2312" w:cs="仿宋_GB2312"/>
          <w:bCs/>
          <w:sz w:val="28"/>
          <w:szCs w:val="28"/>
          <w:lang w:val="en-US" w:eastAsia="zh-CN"/>
        </w:rPr>
        <w:t xml:space="preserve"> </w:t>
      </w:r>
      <w:r>
        <w:rPr>
          <w:rFonts w:hint="eastAsia" w:ascii="仿宋_GB2312" w:hAnsi="仿宋_GB2312" w:eastAsia="仿宋_GB2312" w:cs="仿宋_GB2312"/>
          <w:bCs/>
          <w:sz w:val="28"/>
          <w:szCs w:val="28"/>
          <w:lang w:eastAsia="zh-CN"/>
        </w:rPr>
        <w:t>：</w:t>
      </w:r>
    </w:p>
    <w:p w14:paraId="0A1D5599">
      <w:pPr>
        <w:keepNext w:val="0"/>
        <w:keepLines w:val="0"/>
        <w:pageBreakBefore w:val="0"/>
        <w:widowControl w:val="0"/>
        <w:kinsoku/>
        <w:wordWrap/>
        <w:overflowPunct/>
        <w:topLinePunct w:val="0"/>
        <w:autoSpaceDE/>
        <w:autoSpaceDN/>
        <w:bidi w:val="0"/>
        <w:adjustRightInd/>
        <w:snapToGrid/>
        <w:ind w:firstLine="560" w:firstLineChars="200"/>
        <w:jc w:val="left"/>
        <w:textAlignment w:val="auto"/>
        <w:outlineLvl w:val="9"/>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rPr>
        <w:t xml:space="preserve"> 陕西周至国家级自然保护区2026年度中央财政林业草原生态保护恢复资金项目-保护监测设备购置及生态保护宣传教育</w:t>
      </w:r>
      <w:r>
        <w:rPr>
          <w:rFonts w:hint="eastAsia" w:ascii="仿宋_GB2312" w:hAnsi="仿宋_GB2312" w:eastAsia="仿宋_GB2312" w:cs="仿宋_GB2312"/>
          <w:bCs/>
          <w:sz w:val="28"/>
          <w:szCs w:val="28"/>
          <w:u w:val="single"/>
          <w:lang w:eastAsia="zh-CN"/>
        </w:rPr>
        <w:t>、保护监测设施设备购置</w:t>
      </w:r>
      <w:r>
        <w:rPr>
          <w:rFonts w:hint="eastAsia" w:ascii="仿宋_GB2312" w:hAnsi="仿宋_GB2312" w:eastAsia="仿宋_GB2312" w:cs="仿宋_GB2312"/>
          <w:bCs/>
          <w:sz w:val="28"/>
          <w:szCs w:val="28"/>
          <w:u w:val="single"/>
        </w:rPr>
        <w:t>(项目编号：FHGJ-ZC-2026-0714)</w:t>
      </w:r>
      <w:r>
        <w:rPr>
          <w:rFonts w:hint="eastAsia" w:ascii="仿宋_GB2312" w:hAnsi="仿宋_GB2312" w:eastAsia="仿宋_GB2312" w:cs="仿宋_GB2312"/>
          <w:bCs/>
          <w:sz w:val="28"/>
          <w:szCs w:val="28"/>
        </w:rPr>
        <w:t>，由</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组织</w:t>
      </w:r>
      <w:r>
        <w:rPr>
          <w:rFonts w:hint="eastAsia" w:ascii="仿宋_GB2312" w:hAnsi="仿宋_GB2312" w:eastAsia="仿宋_GB2312" w:cs="仿宋_GB2312"/>
          <w:bCs/>
          <w:sz w:val="28"/>
          <w:szCs w:val="28"/>
          <w:lang w:val="en-US" w:eastAsia="zh-CN"/>
        </w:rPr>
        <w:t>竞争性磋商</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w:t>
      </w:r>
      <w:r>
        <w:rPr>
          <w:rFonts w:hint="eastAsia" w:ascii="仿宋_GB2312" w:hAnsi="仿宋_GB2312" w:eastAsia="仿宋_GB2312" w:cs="仿宋_GB2312"/>
          <w:bCs/>
          <w:sz w:val="28"/>
          <w:szCs w:val="28"/>
          <w:lang w:val="en-US" w:eastAsia="zh-CN"/>
        </w:rPr>
        <w:t>成交供应商</w:t>
      </w:r>
      <w:r>
        <w:rPr>
          <w:rFonts w:hint="eastAsia" w:ascii="仿宋_GB2312" w:hAnsi="仿宋_GB2312" w:eastAsia="仿宋_GB2312" w:cs="仿宋_GB2312"/>
          <w:bCs/>
          <w:sz w:val="28"/>
          <w:szCs w:val="28"/>
        </w:rPr>
        <w:t>。</w:t>
      </w:r>
    </w:p>
    <w:p w14:paraId="378C257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依据《中华人民共和国民法典》和《中华人民共和国政府采购法》及相关法律法规</w:t>
      </w:r>
      <w:r>
        <w:rPr>
          <w:rFonts w:hint="eastAsia" w:ascii="仿宋_GB2312" w:hAnsi="仿宋_GB2312" w:eastAsia="仿宋_GB2312" w:cs="仿宋_GB2312"/>
          <w:bCs/>
          <w:sz w:val="28"/>
          <w:szCs w:val="28"/>
          <w:lang w:eastAsia="zh-CN"/>
        </w:rPr>
        <w:t>的</w:t>
      </w:r>
      <w:r>
        <w:rPr>
          <w:rFonts w:hint="eastAsia" w:ascii="仿宋_GB2312" w:hAnsi="仿宋_GB2312" w:eastAsia="仿宋_GB2312" w:cs="仿宋_GB2312"/>
          <w:bCs/>
          <w:sz w:val="28"/>
          <w:szCs w:val="28"/>
        </w:rPr>
        <w:t>规定，经双方在平等、自愿、互利的基础上，签订本合同，共同信守</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按下述条款和条件签署本合同。</w:t>
      </w:r>
    </w:p>
    <w:p w14:paraId="3098E5A0">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eastAsia="zh-CN"/>
        </w:rPr>
        <w:t>第一条：</w:t>
      </w:r>
      <w:r>
        <w:rPr>
          <w:rFonts w:hint="eastAsia" w:ascii="仿宋_GB2312" w:hAnsi="仿宋_GB2312" w:eastAsia="仿宋_GB2312" w:cs="仿宋_GB2312"/>
          <w:b/>
          <w:bCs/>
          <w:sz w:val="28"/>
          <w:szCs w:val="28"/>
          <w:lang w:val="zh-CN"/>
        </w:rPr>
        <w:t>项目内容</w:t>
      </w:r>
    </w:p>
    <w:p w14:paraId="5631E6BB">
      <w:pPr>
        <w:numPr>
          <w:ilvl w:val="0"/>
          <w:numId w:val="1"/>
        </w:numPr>
        <w:autoSpaceDE w:val="0"/>
        <w:autoSpaceDN w:val="0"/>
        <w:adjustRightInd w:val="0"/>
        <w:snapToGrid w:val="0"/>
        <w:spacing w:line="360" w:lineRule="auto"/>
        <w:ind w:firstLine="562" w:firstLineChars="200"/>
        <w:rPr>
          <w:rFonts w:hint="eastAsia" w:ascii="仿宋" w:hAnsi="仿宋" w:eastAsia="仿宋" w:cs="仿宋"/>
          <w:b/>
          <w:i w:val="0"/>
          <w:color w:val="000000"/>
          <w:spacing w:val="0"/>
          <w:sz w:val="28"/>
          <w:u w:val="single"/>
        </w:rPr>
      </w:pPr>
      <w:r>
        <w:rPr>
          <w:rFonts w:ascii="仿宋" w:hAnsi="仿宋" w:eastAsia="仿宋" w:cs="仿宋"/>
          <w:b/>
          <w:i w:val="0"/>
          <w:color w:val="000000"/>
          <w:spacing w:val="0"/>
          <w:sz w:val="28"/>
        </w:rPr>
        <w:t>项目名称：</w:t>
      </w:r>
      <w:r>
        <w:rPr>
          <w:rFonts w:hint="eastAsia" w:ascii="仿宋_GB2312" w:hAnsi="仿宋_GB2312" w:eastAsia="仿宋_GB2312" w:cs="仿宋_GB2312"/>
          <w:bCs/>
          <w:sz w:val="28"/>
          <w:szCs w:val="28"/>
          <w:u w:val="single"/>
        </w:rPr>
        <w:t xml:space="preserve"> </w:t>
      </w:r>
      <w:r>
        <w:rPr>
          <w:rFonts w:hint="eastAsia" w:ascii="仿宋" w:hAnsi="仿宋" w:eastAsia="仿宋" w:cs="仿宋"/>
          <w:b/>
          <w:bCs w:val="0"/>
          <w:color w:val="000000"/>
          <w:sz w:val="28"/>
          <w:szCs w:val="24"/>
          <w:u w:val="single"/>
        </w:rPr>
        <w:t>陕西周至国家级自然保护区2026年度中央财政林业草原生态保护恢复资金项目-保护监测设备购置及生态保护宣传教育</w:t>
      </w:r>
      <w:r>
        <w:rPr>
          <w:rFonts w:hint="eastAsia" w:ascii="仿宋" w:hAnsi="仿宋" w:eastAsia="仿宋" w:cs="仿宋"/>
          <w:b/>
          <w:bCs w:val="0"/>
          <w:color w:val="000000"/>
          <w:sz w:val="28"/>
          <w:szCs w:val="24"/>
          <w:u w:val="single"/>
          <w:lang w:val="en-US" w:eastAsia="zh-CN"/>
        </w:rPr>
        <w:t xml:space="preserve"> </w:t>
      </w:r>
    </w:p>
    <w:p w14:paraId="3DE68C11">
      <w:pPr>
        <w:pageBreakBefore w:val="0"/>
        <w:wordWrap w:val="0"/>
        <w:spacing w:before="0" w:after="0" w:line="580" w:lineRule="atLeast"/>
        <w:ind w:right="0" w:firstLine="562" w:firstLineChars="200"/>
        <w:jc w:val="both"/>
        <w:textAlignment w:val="baseline"/>
        <w:rPr>
          <w:rFonts w:hint="default" w:ascii="仿宋" w:hAnsi="仿宋" w:eastAsia="仿宋" w:cs="仿宋"/>
          <w:b/>
          <w:i w:val="0"/>
          <w:color w:val="000000"/>
          <w:spacing w:val="0"/>
          <w:sz w:val="28"/>
          <w:u w:val="single"/>
          <w:lang w:val="en-US" w:eastAsia="zh-CN"/>
        </w:rPr>
      </w:pPr>
      <w:r>
        <w:rPr>
          <w:rFonts w:ascii="仿宋" w:hAnsi="仿宋" w:eastAsia="仿宋" w:cs="仿宋"/>
          <w:b/>
          <w:i w:val="0"/>
          <w:color w:val="000000"/>
          <w:spacing w:val="0"/>
          <w:sz w:val="28"/>
        </w:rPr>
        <w:t>(二)</w:t>
      </w:r>
      <w:r>
        <w:rPr>
          <w:rFonts w:hint="eastAsia" w:ascii="仿宋" w:hAnsi="仿宋" w:eastAsia="仿宋" w:cs="仿宋"/>
          <w:b/>
          <w:i w:val="0"/>
          <w:color w:val="000000"/>
          <w:spacing w:val="0"/>
          <w:sz w:val="28"/>
          <w:lang w:val="en-US" w:eastAsia="zh-CN"/>
        </w:rPr>
        <w:t>合同包名称：</w:t>
      </w:r>
      <w:r>
        <w:rPr>
          <w:rFonts w:hint="eastAsia" w:ascii="仿宋" w:hAnsi="仿宋" w:eastAsia="仿宋" w:cs="仿宋"/>
          <w:b/>
          <w:i w:val="0"/>
          <w:color w:val="000000"/>
          <w:spacing w:val="0"/>
          <w:sz w:val="28"/>
          <w:u w:val="single"/>
          <w:lang w:val="en-US" w:eastAsia="zh-CN"/>
        </w:rPr>
        <w:t xml:space="preserve"> 保护监测设施设备购置  </w:t>
      </w:r>
    </w:p>
    <w:p w14:paraId="0E706376">
      <w:pPr>
        <w:pageBreakBefore w:val="0"/>
        <w:wordWrap w:val="0"/>
        <w:spacing w:before="0" w:after="0" w:line="580" w:lineRule="atLeast"/>
        <w:ind w:right="0" w:firstLine="562" w:firstLineChars="200"/>
        <w:jc w:val="both"/>
        <w:textAlignment w:val="baseline"/>
        <w:rPr>
          <w:rFonts w:ascii="仿宋" w:hAnsi="仿宋" w:eastAsia="仿宋" w:cs="仿宋"/>
          <w:b/>
          <w:i w:val="0"/>
          <w:color w:val="000000"/>
          <w:spacing w:val="0"/>
          <w:sz w:val="28"/>
        </w:rPr>
      </w:pPr>
      <w:r>
        <w:rPr>
          <w:rFonts w:ascii="仿宋" w:hAnsi="仿宋" w:eastAsia="仿宋" w:cs="仿宋"/>
          <w:b/>
          <w:i w:val="0"/>
          <w:color w:val="000000"/>
          <w:spacing w:val="0"/>
          <w:sz w:val="28"/>
        </w:rPr>
        <w:t>具体事项：</w:t>
      </w:r>
      <w:r>
        <w:rPr>
          <w:rFonts w:hint="eastAsia" w:ascii="仿宋_GB2312" w:hAnsi="仿宋_GB2312" w:eastAsia="仿宋_GB2312" w:cs="仿宋_GB2312"/>
          <w:bCs/>
          <w:sz w:val="28"/>
          <w:szCs w:val="28"/>
        </w:rPr>
        <w:t>详见</w:t>
      </w:r>
      <w:r>
        <w:rPr>
          <w:rFonts w:hint="eastAsia" w:ascii="仿宋_GB2312" w:hAnsi="仿宋_GB2312" w:eastAsia="仿宋_GB2312" w:cs="仿宋_GB2312"/>
          <w:bCs/>
          <w:sz w:val="28"/>
          <w:szCs w:val="28"/>
          <w:lang w:val="en-US" w:eastAsia="zh-CN"/>
        </w:rPr>
        <w:t>采购清单</w:t>
      </w:r>
      <w:r>
        <w:rPr>
          <w:rFonts w:hint="eastAsia" w:ascii="仿宋_GB2312" w:hAnsi="仿宋_GB2312" w:eastAsia="仿宋_GB2312" w:cs="仿宋_GB2312"/>
          <w:bCs/>
          <w:sz w:val="28"/>
          <w:szCs w:val="28"/>
        </w:rPr>
        <w:t>。</w:t>
      </w:r>
    </w:p>
    <w:p w14:paraId="7371E33E">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第二条：</w:t>
      </w:r>
      <w:r>
        <w:rPr>
          <w:rFonts w:hint="eastAsia" w:ascii="仿宋_GB2312" w:hAnsi="仿宋_GB2312" w:eastAsia="仿宋_GB2312" w:cs="仿宋_GB2312"/>
          <w:b/>
          <w:bCs/>
          <w:sz w:val="28"/>
          <w:szCs w:val="28"/>
          <w:lang w:val="zh-CN"/>
        </w:rPr>
        <w:t>建设期限、地点</w:t>
      </w:r>
    </w:p>
    <w:p w14:paraId="6C903FBF">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1、建设期限：自合同签订之日起</w:t>
      </w:r>
      <w:r>
        <w:rPr>
          <w:rFonts w:hint="eastAsia" w:ascii="仿宋_GB2312" w:hAnsi="仿宋_GB2312" w:eastAsia="仿宋_GB2312" w:cs="仿宋_GB2312"/>
          <w:bCs/>
          <w:sz w:val="28"/>
          <w:szCs w:val="28"/>
          <w:lang w:val="en-US" w:eastAsia="zh-CN"/>
        </w:rPr>
        <w:t>90</w:t>
      </w:r>
      <w:r>
        <w:rPr>
          <w:rFonts w:hint="eastAsia" w:ascii="仿宋_GB2312" w:hAnsi="仿宋_GB2312" w:eastAsia="仿宋_GB2312" w:cs="仿宋_GB2312"/>
          <w:bCs/>
          <w:sz w:val="28"/>
          <w:szCs w:val="28"/>
        </w:rPr>
        <w:t>个日历日完成全部项目内容，并交付采购人初验合格。</w:t>
      </w:r>
    </w:p>
    <w:p w14:paraId="6BA4BFD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2、服务地点：采购人指定要求。</w:t>
      </w:r>
    </w:p>
    <w:p w14:paraId="4A76724A">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第三条：</w:t>
      </w:r>
      <w:r>
        <w:rPr>
          <w:rFonts w:hint="eastAsia" w:ascii="仿宋_GB2312" w:hAnsi="仿宋_GB2312" w:eastAsia="仿宋_GB2312" w:cs="仿宋_GB2312"/>
          <w:b/>
          <w:bCs/>
          <w:sz w:val="28"/>
          <w:szCs w:val="28"/>
        </w:rPr>
        <w:t>合同价款</w:t>
      </w:r>
      <w:r>
        <w:rPr>
          <w:rFonts w:hint="eastAsia" w:ascii="仿宋_GB2312" w:hAnsi="仿宋_GB2312" w:eastAsia="仿宋_GB2312" w:cs="仿宋_GB2312"/>
          <w:b/>
          <w:bCs/>
          <w:sz w:val="28"/>
          <w:szCs w:val="28"/>
          <w:lang w:eastAsia="zh-CN"/>
        </w:rPr>
        <w:t>及付款安排</w:t>
      </w:r>
    </w:p>
    <w:p w14:paraId="70264B1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（一）</w:t>
      </w:r>
      <w:r>
        <w:rPr>
          <w:rFonts w:hint="eastAsia" w:ascii="仿宋_GB2312" w:hAnsi="仿宋_GB2312" w:eastAsia="仿宋_GB2312" w:cs="仿宋_GB2312"/>
          <w:bCs/>
          <w:sz w:val="28"/>
          <w:szCs w:val="28"/>
          <w:lang w:eastAsia="zh-CN"/>
        </w:rPr>
        <w:t>合同价款</w:t>
      </w:r>
    </w:p>
    <w:p w14:paraId="6F8483B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合同</w:t>
      </w:r>
      <w:r>
        <w:rPr>
          <w:rFonts w:hint="eastAsia" w:ascii="仿宋_GB2312" w:hAnsi="仿宋_GB2312" w:eastAsia="仿宋_GB2312" w:cs="仿宋_GB2312"/>
          <w:bCs/>
          <w:sz w:val="28"/>
          <w:szCs w:val="28"/>
          <w:lang w:eastAsia="zh-CN"/>
        </w:rPr>
        <w:t>总</w:t>
      </w:r>
      <w:r>
        <w:rPr>
          <w:rFonts w:hint="eastAsia" w:ascii="仿宋_GB2312" w:hAnsi="仿宋_GB2312" w:eastAsia="仿宋_GB2312" w:cs="仿宋_GB2312"/>
          <w:bCs/>
          <w:sz w:val="28"/>
          <w:szCs w:val="28"/>
        </w:rPr>
        <w:t>价款</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人民币（大写）</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小写</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 xml:space="preserve"> ）。</w:t>
      </w:r>
    </w:p>
    <w:p w14:paraId="134083DF">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rPr>
        <w:t>合同价款包括但不限于</w:t>
      </w:r>
      <w:r>
        <w:rPr>
          <w:rFonts w:hint="eastAsia" w:ascii="仿宋_GB2312" w:hAnsi="仿宋_GB2312" w:eastAsia="仿宋_GB2312" w:cs="仿宋_GB2312"/>
          <w:sz w:val="28"/>
          <w:szCs w:val="28"/>
          <w:lang w:val="zh-CN"/>
        </w:rPr>
        <w:t>产品供应费、运输费（含保险费）、检测验收费、安装调试费、培训费、维保费、管理费、税金及其它相关的费用</w:t>
      </w:r>
      <w:r>
        <w:rPr>
          <w:rFonts w:hint="eastAsia" w:ascii="仿宋_GB2312" w:hAnsi="仿宋_GB2312" w:eastAsia="仿宋_GB2312" w:cs="仿宋_GB2312"/>
          <w:bCs/>
          <w:sz w:val="28"/>
          <w:szCs w:val="28"/>
        </w:rPr>
        <w:t>。</w:t>
      </w:r>
    </w:p>
    <w:p w14:paraId="6B7548E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合同价款一次性包死，不受市场价格变化因素的影响。</w:t>
      </w:r>
    </w:p>
    <w:p w14:paraId="79E4731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二</w:t>
      </w:r>
      <w:r>
        <w:rPr>
          <w:rFonts w:hint="eastAsia" w:ascii="仿宋_GB2312" w:hAnsi="仿宋_GB2312" w:eastAsia="仿宋_GB2312" w:cs="仿宋_GB2312"/>
          <w:bCs/>
          <w:sz w:val="28"/>
          <w:szCs w:val="28"/>
        </w:rPr>
        <w:t>）付款比例</w:t>
      </w:r>
    </w:p>
    <w:p w14:paraId="0056C82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1、合同签订且施工人员进场后，乙方向甲方开具并交付等额合法有效的增值税专用发票，甲方在收到发票且审核无误，达到付款条件起15个工作日内，支付合同总金额的40.0%，即：人民币（大写）          （小写：¥    元）。</w:t>
      </w:r>
    </w:p>
    <w:p w14:paraId="10EB10C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2、供货安装调试并验收合格，且乙方在第二次付款前向甲方提交完整的项目交付文档、培训记录、质保承诺书等全部应归档的材料后，乙方向甲方开具并交付等额合法有效的增值税专用发票，甲方在收到发票且审核无误，并确认乙方已完成对应阶段全部履约义务后，达到付款条件起15个工作日内，支付合同总金额的60.0%，即：人民币（大写）          （小写：¥    元）</w:t>
      </w:r>
      <w:r>
        <w:rPr>
          <w:rFonts w:hint="eastAsia" w:ascii="仿宋_GB2312" w:hAnsi="仿宋_GB2312" w:eastAsia="仿宋_GB2312" w:cs="仿宋_GB2312"/>
          <w:bCs/>
          <w:sz w:val="28"/>
          <w:szCs w:val="28"/>
          <w:lang w:eastAsia="zh-CN"/>
        </w:rPr>
        <w:t>。</w:t>
      </w:r>
    </w:p>
    <w:p w14:paraId="57F1D82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三</w:t>
      </w:r>
      <w:r>
        <w:rPr>
          <w:rFonts w:hint="eastAsia" w:ascii="仿宋_GB2312" w:hAnsi="仿宋_GB2312" w:eastAsia="仿宋_GB2312" w:cs="仿宋_GB2312"/>
          <w:bCs/>
          <w:sz w:val="28"/>
          <w:szCs w:val="28"/>
        </w:rPr>
        <w:t xml:space="preserve">）支付方式：银行转账。 </w:t>
      </w:r>
    </w:p>
    <w:p w14:paraId="4D13DEF2">
      <w:pPr>
        <w:autoSpaceDE w:val="0"/>
        <w:autoSpaceDN w:val="0"/>
        <w:adjustRightInd w:val="0"/>
        <w:snapToGrid w:val="0"/>
        <w:spacing w:line="360" w:lineRule="auto"/>
        <w:ind w:firstLine="560"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四</w:t>
      </w:r>
      <w:r>
        <w:rPr>
          <w:rFonts w:hint="eastAsia" w:ascii="仿宋_GB2312" w:hAnsi="仿宋_GB2312" w:eastAsia="仿宋_GB2312" w:cs="仿宋_GB2312"/>
          <w:bCs/>
          <w:sz w:val="28"/>
          <w:szCs w:val="28"/>
        </w:rPr>
        <w:t>）结算方式：乙方在每次接受甲方付款前，开具等额发票给甲方。</w:t>
      </w:r>
    </w:p>
    <w:p w14:paraId="018AFD14">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第四条：</w:t>
      </w:r>
      <w:r>
        <w:rPr>
          <w:rFonts w:hint="eastAsia" w:ascii="仿宋_GB2312" w:hAnsi="仿宋_GB2312" w:eastAsia="仿宋_GB2312" w:cs="仿宋_GB2312"/>
          <w:b/>
          <w:bCs/>
          <w:sz w:val="28"/>
          <w:szCs w:val="28"/>
        </w:rPr>
        <w:t>双方的权利和义务</w:t>
      </w:r>
    </w:p>
    <w:p w14:paraId="0F00B74E">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pPr>
      <w:r>
        <w:rPr>
          <w:rFonts w:hint="eastAsia" w:ascii="宋体" w:hAnsi="宋体" w:eastAsia="宋体" w:cs="宋体"/>
          <w:color w:val="000000"/>
          <w:kern w:val="0"/>
          <w:sz w:val="28"/>
          <w:szCs w:val="28"/>
          <w:lang w:val="en-US" w:eastAsia="zh-CN" w:bidi="ar"/>
        </w:rPr>
        <w:t>（一）甲方的权利与义务</w:t>
      </w:r>
    </w:p>
    <w:p w14:paraId="121125F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1.甲方有权享有乙方按照约定提供的服务。</w:t>
      </w:r>
    </w:p>
    <w:p w14:paraId="28C1395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2.甲方有权要求乙方按合同约定时间完成合同任务。</w:t>
      </w:r>
    </w:p>
    <w:p w14:paraId="240F652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3.甲方在收到乙方通知后，应按采购文件的需求对项目所用货物进行核实，如发现不符合合同规定或短缺，及时提出。</w:t>
      </w:r>
    </w:p>
    <w:p w14:paraId="5338D19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4.保存所有的当前程序并完成数据的备份，约束其员工正确使用和应用产品。</w:t>
      </w:r>
    </w:p>
    <w:p w14:paraId="27D71D7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5.负责提供培训场地，组织参加培训的人员按时出席。</w:t>
      </w:r>
    </w:p>
    <w:p w14:paraId="6A67430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6.依据合同协助乙方完成验收等相关事宜并按照合同要求支付费用。</w:t>
      </w:r>
    </w:p>
    <w:p w14:paraId="4AF0947B">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pPr>
      <w:r>
        <w:rPr>
          <w:rFonts w:hint="eastAsia" w:ascii="宋体" w:hAnsi="宋体" w:eastAsia="宋体" w:cs="宋体"/>
          <w:color w:val="000000"/>
          <w:kern w:val="0"/>
          <w:sz w:val="28"/>
          <w:szCs w:val="28"/>
          <w:lang w:val="en-US" w:eastAsia="zh-CN" w:bidi="ar"/>
        </w:rPr>
        <w:t>（二）乙方的权利与义务</w:t>
      </w:r>
    </w:p>
    <w:p w14:paraId="576AA0E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1.乙方有权要求甲方为乙方履行本合同提供便利，要求甲方提供必需的相关资料。</w:t>
      </w:r>
    </w:p>
    <w:p w14:paraId="5C5977E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2.乙方有权要求甲方按本合同约定支付费用。</w:t>
      </w:r>
    </w:p>
    <w:p w14:paraId="7B0DB57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3.甲方订购的设备，乙方必须要组织甲方现场考察并得到甲方认可，及时交付产品。</w:t>
      </w:r>
    </w:p>
    <w:p w14:paraId="4EC42E7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4.乙方保证其所交付的产品没有侵犯任何第三人的知识产权和商业秘密。</w:t>
      </w:r>
    </w:p>
    <w:p w14:paraId="6F5BC07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5.乙方应按合同约定提供项目相关的技术文档材料。</w:t>
      </w:r>
    </w:p>
    <w:p w14:paraId="44F8211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6.对双方共同确认的甲方受训人员提供集中培训服务不少于2次。</w:t>
      </w:r>
    </w:p>
    <w:p w14:paraId="02760E9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7.按照双方确认的期限负责产品的安装、测试、调试工作及后续的维护工作。</w:t>
      </w:r>
    </w:p>
    <w:p w14:paraId="4B7C5994">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第五条：验收</w:t>
      </w:r>
    </w:p>
    <w:p w14:paraId="0BC2945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（一）由甲方组织实施验收。</w:t>
      </w:r>
    </w:p>
    <w:p w14:paraId="0384313F">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（二）验收依据：行业质量验收标准，系统运行、数据上报、业务对接正常。</w:t>
      </w:r>
    </w:p>
    <w:p w14:paraId="7556FC7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1.本合同及附加文本；</w:t>
      </w:r>
    </w:p>
    <w:p w14:paraId="263D4AD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2.磋商文件、成交供应商的响应文件及澄清（承诺）函；</w:t>
      </w:r>
    </w:p>
    <w:p w14:paraId="1005C9C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3.国家相应的标准、规范。</w:t>
      </w:r>
    </w:p>
    <w:p w14:paraId="3F6EE1D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三）如项目未通过验收的，乙方应在20日内排除故障，进行整改，承担相关费用。甲方应在收到乙方验收申请后20日内完成验收工作，未提出书面异议的，视为项目验收合格；若甲方认为乙方交付的产品存在不符合合同约定情形的，应在前述20日期限内提出书面异议，双方友好协商解决。乙方应在双方确认的期限内用符合本合同约定的产品更换或整改产品，乙方承担更换或整改产品产生的所有费用，乙方更换或整改产品后再次申请验收。</w:t>
      </w:r>
    </w:p>
    <w:p w14:paraId="288F319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（四）本项目实施过程中，项目的内容、要求、验收、使用标准以采购文件要求为依据，若甲方中途变更方案或产品以及由此引起的相应费用的变化，双方另行协商达成一致意见后以书面形式确定。</w:t>
      </w:r>
    </w:p>
    <w:p w14:paraId="697DE166">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第六条：服务</w:t>
      </w:r>
      <w:r>
        <w:rPr>
          <w:rFonts w:hint="eastAsia" w:ascii="宋体" w:hAnsi="宋体" w:cs="宋体"/>
          <w:b/>
          <w:bCs/>
          <w:color w:val="000000"/>
          <w:kern w:val="0"/>
          <w:sz w:val="28"/>
          <w:szCs w:val="28"/>
          <w:lang w:val="en-US" w:eastAsia="zh-CN" w:bidi="ar"/>
        </w:rPr>
        <w:t>承诺</w:t>
      </w:r>
      <w:r>
        <w:rPr>
          <w:rFonts w:hint="eastAsia" w:ascii="宋体" w:hAnsi="宋体" w:eastAsia="宋体" w:cs="宋体"/>
          <w:b/>
          <w:bCs/>
          <w:color w:val="000000"/>
          <w:kern w:val="0"/>
          <w:sz w:val="28"/>
          <w:szCs w:val="28"/>
          <w:lang w:val="en-US" w:eastAsia="zh-CN" w:bidi="ar"/>
        </w:rPr>
        <w:t xml:space="preserve"> </w:t>
      </w:r>
    </w:p>
    <w:p w14:paraId="0B0886DF">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1、乙方每次上门提供排查、维护服务的持续服务时间不得短于72小时；如72小时内未能排除故障，乙方应做出合理解释，提供相应有效解决方案，经甲方认可后免费实施直至故障彻底排除。</w:t>
      </w:r>
    </w:p>
    <w:p w14:paraId="769280F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2、乙方保证不影响甲方正常业务和保证数据完整的前提下进行实施工作。并承担由此工作带来的所有责任和造成的经济损失。</w:t>
      </w:r>
    </w:p>
    <w:p w14:paraId="3859D52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3、整体项目竣工验收合格后进入质保期，除声景监测设备（被动声学监测设备）、多功能卫星热点终端质保期为三年，其余设备质保期为一年。</w:t>
      </w:r>
    </w:p>
    <w:p w14:paraId="308F971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4、乙方指定专业项目经理专职负责整体项目实施。甲方有权要求乙方更换项目专职经理。</w:t>
      </w:r>
    </w:p>
    <w:p w14:paraId="24B7A2F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当产品不能正常运行时，应在接到甲方书面或口头通知后1小时内予以有效响应，明确告知甲方故障排查方案及预计处理时效，提供电话、网络远程等技术支持，如果通过以上方式仍不能正常运行的，乙方必须在24小时内到达现场进行维护。</w:t>
      </w:r>
    </w:p>
    <w:p w14:paraId="27E0005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6、在设备系统投入使用前，必须对各应用设备系统相关人员进行免费业务技术培训，对甲方管理人员免费提供具有针对性的系统培训，培训内容应包括设备操作、日常维护、常见故障排查、数据导出分析等全部相关内容，优先采用现场实操培训方式，每次培训时长不少于2个工作日；经3次培训后仍有甲方人员未完全掌握的，乙方应免费提供后续上门指导服务，不得额外收取任何费用。培训方式由双方商定，若需异地培训，因异地培训产生的所有费用由乙方承担。</w:t>
      </w:r>
    </w:p>
    <w:p w14:paraId="4BC3190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7、保修、质保期内，维修费用、乙方维修人员的差旅费及其它相关费用均由乙方承担。</w:t>
      </w:r>
    </w:p>
    <w:p w14:paraId="31ACB96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8、乙方提供产品应无任何瑕疵，如在使用过程中本产品存在隐蔽瑕疵造成事故而引发的纠纷，由乙方全额负责赔偿，并免费为甲方修复瑕疵或更新换代，期间产生的费用均由乙方承担。</w:t>
      </w:r>
    </w:p>
    <w:p w14:paraId="71F0AF06">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 xml:space="preserve">第七条：知识产权及保密条款 </w:t>
      </w:r>
    </w:p>
    <w:p w14:paraId="7402E24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1.乙方保证其提供本合同项下的产品具备相应资质，为履行本合同而使用的产品不存在权利瑕疵或侵害第三人利益的情形。</w:t>
      </w:r>
    </w:p>
    <w:p w14:paraId="0F09783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2.本项目涉及的保密内容包括技术信息、经营信息等，双方都有责任对对方提供的技术情报、资料数据及商业秘密保密，不得向第三方泄露。</w:t>
      </w:r>
    </w:p>
    <w:p w14:paraId="4AC17A2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 xml:space="preserve">3.未经对方同意，任何一方不得以任何形式公开本合同及附件内容。双方在未征得对方同意的情况下，不得向第三方泄露在项目中接触到的需要保密的信息和资料。不得为任何本合同之外的其他目的而自行使用或允许他人使用从对方获得的信息（包括但不限于所有的报告、摘录、纪要、文件、计划、报表、复印件等）。 </w:t>
      </w:r>
    </w:p>
    <w:p w14:paraId="62FA134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 xml:space="preserve">4.负有保密义务的人员范围为甲乙双方参与及知悉项目的所有人员，双方负有永久保密义务。 </w:t>
      </w:r>
    </w:p>
    <w:p w14:paraId="79C528F4">
      <w:pPr>
        <w:autoSpaceDE w:val="0"/>
        <w:autoSpaceDN w:val="0"/>
        <w:adjustRightInd w:val="0"/>
        <w:snapToGrid w:val="0"/>
        <w:spacing w:line="360" w:lineRule="auto"/>
        <w:ind w:firstLine="560" w:firstLineChars="200"/>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5.本项目项下产生数据资料、统计资料等电子信息所有权属于甲方，未经甲方书面同意，乙方不得以任何方式使用或变相使用，不得以任何方式向第三方披露，否则，乙方应当向甲方赔偿损失。</w:t>
      </w:r>
    </w:p>
    <w:p w14:paraId="513C61B0">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 xml:space="preserve">第八条：违约责任 </w:t>
      </w:r>
    </w:p>
    <w:p w14:paraId="14EA537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1、乙方如未按照本合同约定时间完成安装、调试等建设项目任务，每逾期一天应向甲方支付本合同总价款0.5‰的违约金，违约金总额以本合同总价款的30%为上限。乙方逾期超过30天的，甲方有权解除合同。</w:t>
      </w:r>
    </w:p>
    <w:p w14:paraId="3F2F780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如乙方交付的产品数量、品种、规格、质量不符合国家标准和合同约定的，由乙方负责包换、退货，并承担由此给甲方造成的所有经济损失。</w:t>
      </w:r>
    </w:p>
    <w:p w14:paraId="1B77846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乙方收到甲方整改要求后逾期更换或整改产品的，每逾期一日按合同总价款的0.5‰向甲方支付违约金，逾期超过30日的，甲方有权直接解除合同并要求乙方承担合同总价款20%的违约金。</w:t>
      </w:r>
    </w:p>
    <w:p w14:paraId="6766986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2、除前款约定外，乙方未按合同要求提供产品或提供虚假材料，且质量不能满足技术要求的，甲方有权解除合同，并对乙方的违法、违约行为进行追究。</w:t>
      </w:r>
    </w:p>
    <w:p w14:paraId="0701C4D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乙方确保甲方购买的产品拥有合法、完整且不受任何第三方权利主张影响的知识产权（包括但不限于著作权、专利权、商标权等），均为合法授权的正版产品。如因甲方购买、使用本合同项下全部产品（包括配套设备、软件、系统及数据服务等）引起或涉及与任何第三方发生法律、经济纠纷或权利主张的，乙方应承担全部责任并积极参与处理，承担甲方因此遭受的全部损失（包括但不限于赔偿费、律师费、交通费、诉讼费、公告费、保全费、保全担保费等）。乙方并应退还甲方已支付的全部款项，并按合同价款总额的20%向甲方支付违约金。</w:t>
      </w:r>
    </w:p>
    <w:p w14:paraId="758F8AD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4、甲方未按合同约定提供工作条件或完成配合事项，或者提供工作条件、完成配合事项不符合合同约定影响项目进度和质量的，项目交付期限相应顺延。</w:t>
      </w:r>
    </w:p>
    <w:p w14:paraId="499E1B7F">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5、因甲方违约导致本合同解除的，乙方有权按已履行完毕的服务内容向甲方收取对应合同价款。</w:t>
      </w:r>
    </w:p>
    <w:p w14:paraId="034DD588">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第九条：不可抗力</w:t>
      </w:r>
    </w:p>
    <w:p w14:paraId="4F6321A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如果由于无法预见并且对其发生和后果无法防止或避免的事件，如地震、水灾、火灾和其他自然灾害、战争、暴动和类似的军事行动，民间骚动以及政府的禁运令、禁止令或其他政府限制和行动，或者其他阻止一方履行本合同义务的任何事件或原因（统称：不可抗力事件）。直接致使遇到上述事件的一方（即受阻方）不能履行本合同约定的全部或部分义务的，受阻方应立即书面通知另一方，并在不可抗力事件发生后十五个工作日内提供有关该事件的权威机关的书面材料，包括陈述迟延履行、部分履行或无法履行本合同义务的理由的说明书，方可免责。</w:t>
      </w:r>
    </w:p>
    <w:p w14:paraId="56638A8E">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 xml:space="preserve">第十条：纠纷的解决 </w:t>
      </w:r>
    </w:p>
    <w:p w14:paraId="2EAD980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（一）本合同在履行过程中发生的争议，由甲、乙双方当事人协商解决，协商不成的按下列第 2 种方式解决：</w:t>
      </w:r>
    </w:p>
    <w:p w14:paraId="3172A93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1.提交西安市仲裁委员会仲裁；</w:t>
      </w:r>
    </w:p>
    <w:p w14:paraId="4247DDA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2.依法向甲方所在地人民法院起诉。</w:t>
      </w:r>
    </w:p>
    <w:p w14:paraId="3485DF6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（二）因质量问题发生的争议，由国家权威技术单位进行质量鉴定，该鉴定结论为最终结果，甲乙双方应当接受。</w:t>
      </w:r>
    </w:p>
    <w:p w14:paraId="5E9F012F">
      <w:pPr>
        <w:autoSpaceDE w:val="0"/>
        <w:autoSpaceDN w:val="0"/>
        <w:adjustRightInd w:val="0"/>
        <w:snapToGrid w:val="0"/>
        <w:spacing w:line="360" w:lineRule="auto"/>
        <w:ind w:firstLine="562" w:firstLineChars="200"/>
      </w:pPr>
      <w:r>
        <w:rPr>
          <w:rFonts w:hint="eastAsia" w:ascii="宋体" w:hAnsi="宋体" w:eastAsia="宋体" w:cs="宋体"/>
          <w:b/>
          <w:bCs/>
          <w:color w:val="000000"/>
          <w:kern w:val="0"/>
          <w:sz w:val="28"/>
          <w:szCs w:val="28"/>
          <w:lang w:val="en-US" w:eastAsia="zh-CN" w:bidi="ar"/>
        </w:rPr>
        <w:t>第十一条：</w:t>
      </w:r>
      <w:r>
        <w:rPr>
          <w:rFonts w:hint="eastAsia" w:ascii="仿宋_GB2312" w:hAnsi="仿宋_GB2312" w:eastAsia="仿宋_GB2312" w:cs="仿宋_GB2312"/>
          <w:bCs/>
          <w:sz w:val="28"/>
          <w:szCs w:val="28"/>
          <w:lang w:val="en-US" w:eastAsia="zh-CN"/>
        </w:rPr>
        <w:t xml:space="preserve">本合同一式 </w:t>
      </w:r>
      <w:r>
        <w:rPr>
          <w:rFonts w:hint="eastAsia" w:ascii="宋体" w:hAnsi="宋体" w:eastAsia="宋体" w:cs="宋体"/>
          <w:b/>
          <w:bCs/>
          <w:color w:val="000000"/>
          <w:kern w:val="0"/>
          <w:sz w:val="28"/>
          <w:szCs w:val="28"/>
          <w:lang w:val="en-US" w:eastAsia="zh-CN" w:bidi="ar"/>
        </w:rPr>
        <w:t>捌</w:t>
      </w:r>
      <w:r>
        <w:rPr>
          <w:rFonts w:hint="eastAsia" w:ascii="宋体" w:hAnsi="宋体" w:eastAsia="宋体" w:cs="宋体"/>
          <w:color w:val="000000"/>
          <w:kern w:val="0"/>
          <w:sz w:val="28"/>
          <w:szCs w:val="28"/>
          <w:lang w:val="en-US" w:eastAsia="zh-CN" w:bidi="ar"/>
        </w:rPr>
        <w:t xml:space="preserve"> </w:t>
      </w:r>
      <w:r>
        <w:rPr>
          <w:rFonts w:hint="eastAsia" w:ascii="仿宋_GB2312" w:hAnsi="仿宋_GB2312" w:eastAsia="仿宋_GB2312" w:cs="仿宋_GB2312"/>
          <w:bCs/>
          <w:sz w:val="28"/>
          <w:szCs w:val="28"/>
          <w:lang w:val="en-US" w:eastAsia="zh-CN"/>
        </w:rPr>
        <w:t>份</w:t>
      </w:r>
      <w:r>
        <w:rPr>
          <w:rFonts w:hint="eastAsia" w:ascii="宋体" w:hAnsi="宋体" w:eastAsia="宋体" w:cs="宋体"/>
          <w:b/>
          <w:bCs/>
          <w:color w:val="000000"/>
          <w:kern w:val="0"/>
          <w:sz w:val="28"/>
          <w:szCs w:val="28"/>
          <w:lang w:val="en-US" w:eastAsia="zh-CN" w:bidi="ar"/>
        </w:rPr>
        <w:t>，</w:t>
      </w:r>
      <w:r>
        <w:rPr>
          <w:rFonts w:hint="eastAsia" w:ascii="仿宋_GB2312" w:hAnsi="仿宋_GB2312" w:eastAsia="仿宋_GB2312" w:cs="仿宋_GB2312"/>
          <w:bCs/>
          <w:sz w:val="28"/>
          <w:szCs w:val="28"/>
          <w:lang w:val="en-US" w:eastAsia="zh-CN"/>
        </w:rPr>
        <w:t>甲方</w:t>
      </w:r>
      <w:r>
        <w:rPr>
          <w:rFonts w:hint="eastAsia" w:ascii="宋体" w:hAnsi="宋体" w:eastAsia="宋体" w:cs="宋体"/>
          <w:color w:val="000000"/>
          <w:kern w:val="0"/>
          <w:sz w:val="28"/>
          <w:szCs w:val="28"/>
          <w:lang w:val="en-US" w:eastAsia="zh-CN" w:bidi="ar"/>
        </w:rPr>
        <w:t xml:space="preserve"> </w:t>
      </w:r>
      <w:r>
        <w:rPr>
          <w:rFonts w:hint="eastAsia" w:ascii="宋体" w:hAnsi="宋体" w:cs="宋体"/>
          <w:b/>
          <w:bCs/>
          <w:color w:val="000000"/>
          <w:kern w:val="0"/>
          <w:sz w:val="28"/>
          <w:szCs w:val="28"/>
          <w:lang w:val="en-US" w:eastAsia="zh-CN" w:bidi="ar"/>
        </w:rPr>
        <w:t>伍</w:t>
      </w:r>
      <w:r>
        <w:rPr>
          <w:rFonts w:hint="eastAsia" w:ascii="仿宋_GB2312" w:hAnsi="仿宋_GB2312" w:eastAsia="仿宋_GB2312" w:cs="仿宋_GB2312"/>
          <w:bCs/>
          <w:sz w:val="28"/>
          <w:szCs w:val="28"/>
          <w:lang w:val="en-US" w:eastAsia="zh-CN"/>
        </w:rPr>
        <w:t>份</w:t>
      </w:r>
      <w:r>
        <w:rPr>
          <w:rFonts w:hint="eastAsia" w:ascii="宋体" w:hAnsi="宋体" w:eastAsia="宋体" w:cs="宋体"/>
          <w:b/>
          <w:bCs/>
          <w:color w:val="000000"/>
          <w:kern w:val="0"/>
          <w:sz w:val="28"/>
          <w:szCs w:val="28"/>
          <w:lang w:val="en-US" w:eastAsia="zh-CN" w:bidi="ar"/>
        </w:rPr>
        <w:t>，</w:t>
      </w:r>
      <w:r>
        <w:rPr>
          <w:rFonts w:hint="eastAsia" w:ascii="仿宋_GB2312" w:hAnsi="仿宋_GB2312" w:eastAsia="仿宋_GB2312" w:cs="仿宋_GB2312"/>
          <w:bCs/>
          <w:sz w:val="28"/>
          <w:szCs w:val="28"/>
          <w:lang w:val="en-US" w:eastAsia="zh-CN"/>
        </w:rPr>
        <w:t xml:space="preserve">乙方 </w:t>
      </w:r>
      <w:r>
        <w:rPr>
          <w:rFonts w:hint="eastAsia" w:ascii="宋体" w:hAnsi="宋体" w:eastAsia="宋体" w:cs="宋体"/>
          <w:b/>
          <w:bCs/>
          <w:color w:val="000000"/>
          <w:kern w:val="0"/>
          <w:sz w:val="28"/>
          <w:szCs w:val="28"/>
          <w:lang w:val="en-US" w:eastAsia="zh-CN" w:bidi="ar"/>
        </w:rPr>
        <w:t xml:space="preserve">贰 </w:t>
      </w:r>
      <w:r>
        <w:rPr>
          <w:rFonts w:hint="eastAsia" w:ascii="仿宋_GB2312" w:hAnsi="仿宋_GB2312" w:eastAsia="仿宋_GB2312" w:cs="仿宋_GB2312"/>
          <w:bCs/>
          <w:sz w:val="28"/>
          <w:szCs w:val="28"/>
          <w:lang w:val="en-US" w:eastAsia="zh-CN"/>
        </w:rPr>
        <w:t>份</w:t>
      </w:r>
      <w:r>
        <w:rPr>
          <w:rFonts w:hint="eastAsia" w:ascii="宋体" w:hAnsi="宋体" w:eastAsia="宋体" w:cs="宋体"/>
          <w:b/>
          <w:bCs/>
          <w:color w:val="000000"/>
          <w:kern w:val="0"/>
          <w:sz w:val="28"/>
          <w:szCs w:val="28"/>
          <w:lang w:val="en-US" w:eastAsia="zh-CN" w:bidi="ar"/>
        </w:rPr>
        <w:t>，</w:t>
      </w:r>
      <w:r>
        <w:rPr>
          <w:rFonts w:hint="eastAsia" w:ascii="仿宋_GB2312" w:hAnsi="仿宋_GB2312" w:eastAsia="仿宋_GB2312" w:cs="仿宋_GB2312"/>
          <w:bCs/>
          <w:sz w:val="28"/>
          <w:szCs w:val="28"/>
          <w:lang w:val="en-US" w:eastAsia="zh-CN"/>
        </w:rPr>
        <w:t>鉴证方</w:t>
      </w:r>
      <w:r>
        <w:rPr>
          <w:rFonts w:hint="eastAsia" w:ascii="宋体" w:hAnsi="宋体" w:cs="宋体"/>
          <w:b w:val="0"/>
          <w:bCs w:val="0"/>
          <w:color w:val="000000"/>
          <w:kern w:val="0"/>
          <w:sz w:val="28"/>
          <w:szCs w:val="28"/>
          <w:lang w:val="en-US" w:eastAsia="zh-CN" w:bidi="ar"/>
        </w:rPr>
        <w:t xml:space="preserve"> </w:t>
      </w:r>
      <w:r>
        <w:rPr>
          <w:rFonts w:hint="eastAsia" w:ascii="宋体" w:hAnsi="宋体" w:cs="宋体"/>
          <w:b/>
          <w:bCs/>
          <w:color w:val="000000"/>
          <w:kern w:val="0"/>
          <w:sz w:val="28"/>
          <w:szCs w:val="28"/>
          <w:lang w:val="en-US" w:eastAsia="zh-CN" w:bidi="ar"/>
        </w:rPr>
        <w:t>壹</w:t>
      </w:r>
      <w:r>
        <w:rPr>
          <w:rFonts w:hint="eastAsia" w:ascii="宋体" w:hAnsi="宋体" w:cs="宋体"/>
          <w:b w:val="0"/>
          <w:bCs w:val="0"/>
          <w:color w:val="000000"/>
          <w:kern w:val="0"/>
          <w:sz w:val="28"/>
          <w:szCs w:val="28"/>
          <w:lang w:val="en-US" w:eastAsia="zh-CN" w:bidi="ar"/>
        </w:rPr>
        <w:t>份</w:t>
      </w:r>
      <w:r>
        <w:rPr>
          <w:rFonts w:hint="eastAsia" w:ascii="宋体" w:hAnsi="宋体" w:cs="宋体"/>
          <w:b/>
          <w:bCs/>
          <w:color w:val="000000"/>
          <w:kern w:val="0"/>
          <w:sz w:val="28"/>
          <w:szCs w:val="28"/>
          <w:lang w:val="en-US" w:eastAsia="zh-CN" w:bidi="ar"/>
        </w:rPr>
        <w:t>，</w:t>
      </w:r>
      <w:r>
        <w:rPr>
          <w:rFonts w:hint="eastAsia" w:ascii="仿宋_GB2312" w:hAnsi="仿宋_GB2312" w:eastAsia="仿宋_GB2312" w:cs="仿宋_GB2312"/>
          <w:bCs/>
          <w:sz w:val="28"/>
          <w:szCs w:val="28"/>
          <w:lang w:val="en-US" w:eastAsia="zh-CN"/>
        </w:rPr>
        <w:t>均具有同等法律效力。</w:t>
      </w:r>
    </w:p>
    <w:p w14:paraId="7931D1E9">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第十二条：</w:t>
      </w:r>
      <w:r>
        <w:rPr>
          <w:rFonts w:hint="eastAsia" w:ascii="仿宋_GB2312" w:hAnsi="仿宋_GB2312" w:eastAsia="仿宋_GB2312" w:cs="仿宋_GB2312"/>
          <w:bCs/>
          <w:sz w:val="28"/>
          <w:szCs w:val="28"/>
          <w:lang w:val="en-US" w:eastAsia="zh-CN"/>
        </w:rPr>
        <w:t>本合同未尽事宜，由甲、乙双方另行签订补充协议，补充协议作为合同附件与本合同具有同等法律效力。</w:t>
      </w:r>
      <w:r>
        <w:rPr>
          <w:rFonts w:hint="eastAsia" w:ascii="宋体" w:hAnsi="宋体" w:eastAsia="宋体" w:cs="宋体"/>
          <w:color w:val="000000"/>
          <w:kern w:val="0"/>
          <w:sz w:val="28"/>
          <w:szCs w:val="28"/>
          <w:lang w:val="en-US" w:eastAsia="zh-CN" w:bidi="ar"/>
        </w:rPr>
        <w:t xml:space="preserve"> </w:t>
      </w:r>
    </w:p>
    <w:p w14:paraId="1777EC4A">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第十三条：</w:t>
      </w:r>
      <w:r>
        <w:rPr>
          <w:rFonts w:hint="eastAsia" w:ascii="仿宋_GB2312" w:hAnsi="仿宋_GB2312" w:eastAsia="仿宋_GB2312" w:cs="仿宋_GB2312"/>
          <w:bCs/>
          <w:sz w:val="28"/>
          <w:szCs w:val="28"/>
          <w:lang w:val="en-US" w:eastAsia="zh-CN"/>
        </w:rPr>
        <w:t>本合同自甲、乙双方正式授权代表签字并加盖公章之日起生效。</w:t>
      </w:r>
    </w:p>
    <w:p w14:paraId="0435D3E6">
      <w:pPr>
        <w:autoSpaceDE w:val="0"/>
        <w:autoSpaceDN w:val="0"/>
        <w:adjustRightInd w:val="0"/>
        <w:snapToGrid w:val="0"/>
        <w:spacing w:line="360" w:lineRule="auto"/>
        <w:ind w:firstLine="562" w:firstLineChars="200"/>
      </w:pPr>
      <w:r>
        <w:rPr>
          <w:rFonts w:hint="eastAsia" w:ascii="宋体" w:hAnsi="宋体" w:eastAsia="宋体" w:cs="宋体"/>
          <w:b/>
          <w:bCs/>
          <w:color w:val="000000"/>
          <w:kern w:val="0"/>
          <w:sz w:val="28"/>
          <w:szCs w:val="28"/>
          <w:lang w:val="en-US" w:eastAsia="zh-CN" w:bidi="ar"/>
        </w:rPr>
        <w:t>第十四条</w:t>
      </w:r>
      <w:r>
        <w:rPr>
          <w:rFonts w:hint="eastAsia" w:ascii="仿宋_GB2312" w:hAnsi="仿宋_GB2312" w:eastAsia="仿宋_GB2312" w:cs="仿宋_GB2312"/>
          <w:bCs/>
          <w:sz w:val="28"/>
          <w:szCs w:val="28"/>
          <w:lang w:val="en-US" w:eastAsia="zh-CN"/>
        </w:rPr>
        <w:t>：本合同有效期自生效之日起至合同执行完毕时止。</w:t>
      </w:r>
    </w:p>
    <w:p w14:paraId="639F56A4">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pPr>
      <w:r>
        <w:rPr>
          <w:rFonts w:hint="eastAsia" w:ascii="宋体" w:hAnsi="宋体" w:eastAsia="宋体" w:cs="宋体"/>
          <w:b/>
          <w:bCs/>
          <w:color w:val="000000"/>
          <w:kern w:val="0"/>
          <w:sz w:val="28"/>
          <w:szCs w:val="28"/>
          <w:lang w:val="en-US" w:eastAsia="zh-CN" w:bidi="ar"/>
        </w:rPr>
        <w:t>第十五条：</w:t>
      </w:r>
      <w:r>
        <w:rPr>
          <w:rFonts w:hint="eastAsia" w:ascii="仿宋_GB2312" w:hAnsi="仿宋_GB2312" w:eastAsia="仿宋_GB2312" w:cs="仿宋_GB2312"/>
          <w:bCs/>
          <w:sz w:val="28"/>
          <w:szCs w:val="28"/>
          <w:lang w:val="en-US" w:eastAsia="zh-CN"/>
        </w:rPr>
        <w:t>本合同应当按照中华人民共和国的现行法律法规进行解释。</w:t>
      </w:r>
    </w:p>
    <w:p w14:paraId="42CFEB9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（以下无正文，为合同签署页）</w:t>
      </w:r>
    </w:p>
    <w:tbl>
      <w:tblPr>
        <w:tblStyle w:val="5"/>
        <w:tblW w:w="10301"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4"/>
        <w:gridCol w:w="3390"/>
        <w:gridCol w:w="3497"/>
      </w:tblGrid>
      <w:tr w14:paraId="6DFA5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7A4E0538">
            <w:pPr>
              <w:autoSpaceDE w:val="0"/>
              <w:autoSpaceDN w:val="0"/>
              <w:adjustRightInd w:val="0"/>
              <w:spacing w:line="360" w:lineRule="auto"/>
              <w:jc w:val="center"/>
              <w:rPr>
                <w:rFonts w:ascii="仿宋_GB2312" w:hAnsi="宋体" w:eastAsia="仿宋_GB2312"/>
                <w:spacing w:val="-20"/>
                <w:kern w:val="0"/>
                <w:sz w:val="28"/>
                <w:szCs w:val="20"/>
              </w:rPr>
            </w:pPr>
            <w:r>
              <w:rPr>
                <w:rFonts w:hint="eastAsia" w:ascii="仿宋_GB2312" w:hAnsi="宋体" w:eastAsia="仿宋_GB2312"/>
                <w:spacing w:val="-20"/>
                <w:kern w:val="0"/>
                <w:sz w:val="28"/>
                <w:szCs w:val="20"/>
              </w:rPr>
              <w:t>甲  方</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6F740AE0">
            <w:pPr>
              <w:autoSpaceDE w:val="0"/>
              <w:autoSpaceDN w:val="0"/>
              <w:adjustRightInd w:val="0"/>
              <w:spacing w:line="360" w:lineRule="auto"/>
              <w:jc w:val="center"/>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乙  方</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69698448">
            <w:pPr>
              <w:autoSpaceDE w:val="0"/>
              <w:autoSpaceDN w:val="0"/>
              <w:adjustRightInd w:val="0"/>
              <w:spacing w:line="360" w:lineRule="auto"/>
              <w:jc w:val="center"/>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鉴 证 方</w:t>
            </w:r>
          </w:p>
        </w:tc>
      </w:tr>
      <w:tr w14:paraId="65BA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center"/>
          </w:tcPr>
          <w:p w14:paraId="0A6AA5AC">
            <w:pPr>
              <w:autoSpaceDE w:val="0"/>
              <w:autoSpaceDN w:val="0"/>
              <w:adjustRightInd w:val="0"/>
              <w:spacing w:line="360" w:lineRule="auto"/>
              <w:jc w:val="left"/>
              <w:rPr>
                <w:rFonts w:hint="eastAsia" w:ascii="仿宋_GB2312" w:hAnsi="宋体" w:eastAsia="仿宋_GB2312"/>
                <w:spacing w:val="-20"/>
                <w:kern w:val="0"/>
                <w:sz w:val="28"/>
                <w:szCs w:val="20"/>
              </w:rPr>
            </w:pPr>
          </w:p>
          <w:p w14:paraId="43EFD03C">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（盖章）</w:t>
            </w:r>
          </w:p>
        </w:tc>
        <w:tc>
          <w:tcPr>
            <w:tcW w:w="3390" w:type="dxa"/>
            <w:tcBorders>
              <w:top w:val="single" w:color="auto" w:sz="4" w:space="0"/>
              <w:left w:val="single" w:color="auto" w:sz="4" w:space="0"/>
              <w:bottom w:val="single" w:color="auto" w:sz="4" w:space="0"/>
              <w:right w:val="single" w:color="auto" w:sz="4" w:space="0"/>
            </w:tcBorders>
            <w:noWrap w:val="0"/>
            <w:vAlign w:val="center"/>
          </w:tcPr>
          <w:p w14:paraId="7729E036">
            <w:pPr>
              <w:autoSpaceDE w:val="0"/>
              <w:autoSpaceDN w:val="0"/>
              <w:adjustRightInd w:val="0"/>
              <w:spacing w:line="360" w:lineRule="auto"/>
              <w:jc w:val="left"/>
              <w:rPr>
                <w:rFonts w:hint="eastAsia" w:ascii="仿宋_GB2312" w:hAnsi="宋体" w:eastAsia="仿宋_GB2312"/>
                <w:spacing w:val="-20"/>
                <w:kern w:val="0"/>
                <w:sz w:val="28"/>
                <w:szCs w:val="20"/>
              </w:rPr>
            </w:pPr>
          </w:p>
          <w:p w14:paraId="3B6DC38D">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（盖章）</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663A9E7A">
            <w:pPr>
              <w:autoSpaceDE w:val="0"/>
              <w:autoSpaceDN w:val="0"/>
              <w:adjustRightInd w:val="0"/>
              <w:spacing w:line="360" w:lineRule="auto"/>
              <w:jc w:val="left"/>
              <w:rPr>
                <w:rFonts w:hint="eastAsia" w:ascii="仿宋_GB2312" w:hAnsi="宋体" w:eastAsia="仿宋_GB2312"/>
                <w:spacing w:val="-20"/>
                <w:kern w:val="0"/>
                <w:sz w:val="28"/>
                <w:szCs w:val="20"/>
              </w:rPr>
            </w:pPr>
          </w:p>
          <w:p w14:paraId="6012B020">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（盖章）</w:t>
            </w:r>
          </w:p>
        </w:tc>
      </w:tr>
      <w:tr w14:paraId="0754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46441246">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地址：</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6784B625">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地址：</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6B4AD1A0">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地址：</w:t>
            </w:r>
          </w:p>
        </w:tc>
      </w:tr>
      <w:tr w14:paraId="2E19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04D0A3C0">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邮编：</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0C2337E1">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邮编：</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456D2406">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邮编：</w:t>
            </w:r>
          </w:p>
        </w:tc>
      </w:tr>
      <w:tr w14:paraId="3EE5B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48C6F4C9">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法定代表人：</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23075A32">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法定代表人：</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4F840AAE">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法定代表人：</w:t>
            </w:r>
          </w:p>
        </w:tc>
      </w:tr>
      <w:tr w14:paraId="6CDD3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570C5E6C">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被授权代表</w:t>
            </w:r>
            <w:r>
              <w:rPr>
                <w:rFonts w:hint="eastAsia" w:ascii="仿宋_GB2312" w:hAnsi="宋体" w:eastAsia="仿宋_GB2312"/>
                <w:spacing w:val="-20"/>
                <w:kern w:val="0"/>
                <w:sz w:val="28"/>
                <w:szCs w:val="20"/>
                <w:lang w:eastAsia="zh-CN"/>
              </w:rPr>
              <w:t>：</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4E1AE449">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被授权代表</w:t>
            </w:r>
            <w:r>
              <w:rPr>
                <w:rFonts w:hint="eastAsia" w:ascii="仿宋_GB2312" w:hAnsi="宋体" w:eastAsia="仿宋_GB2312"/>
                <w:spacing w:val="-20"/>
                <w:kern w:val="0"/>
                <w:sz w:val="28"/>
                <w:szCs w:val="20"/>
                <w:lang w:eastAsia="zh-CN"/>
              </w:rPr>
              <w:t>：</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6E85D6B1">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被授权代表：</w:t>
            </w:r>
          </w:p>
        </w:tc>
      </w:tr>
      <w:tr w14:paraId="2576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34F70270">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电话：</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49BB8212">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电话：</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4B8B8074">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电话：</w:t>
            </w:r>
          </w:p>
        </w:tc>
      </w:tr>
      <w:tr w14:paraId="15FF3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34BFE80A">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传真：</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60AC0FC7">
            <w:pPr>
              <w:autoSpaceDE w:val="0"/>
              <w:autoSpaceDN w:val="0"/>
              <w:adjustRightInd w:val="0"/>
              <w:spacing w:line="360" w:lineRule="auto"/>
              <w:jc w:val="left"/>
              <w:rPr>
                <w:rFonts w:hint="eastAsia" w:ascii="仿宋_GB2312" w:hAnsi="宋体" w:eastAsia="仿宋_GB2312"/>
                <w:spacing w:val="-20"/>
                <w:kern w:val="0"/>
                <w:sz w:val="28"/>
                <w:szCs w:val="20"/>
                <w:lang w:eastAsia="zh-CN"/>
              </w:rPr>
            </w:pPr>
            <w:r>
              <w:rPr>
                <w:rFonts w:hint="eastAsia" w:ascii="仿宋_GB2312" w:hAnsi="宋体" w:eastAsia="仿宋_GB2312"/>
                <w:spacing w:val="-20"/>
                <w:kern w:val="0"/>
                <w:sz w:val="28"/>
                <w:szCs w:val="20"/>
              </w:rPr>
              <w:t>传真：</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3DCEC2E7">
            <w:pPr>
              <w:spacing w:line="340" w:lineRule="exac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传真：</w:t>
            </w:r>
          </w:p>
        </w:tc>
      </w:tr>
      <w:tr w14:paraId="5964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59762B90">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开户银行：</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2BC3F2D3">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开户银行：</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1CB377C9">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开户银行：</w:t>
            </w:r>
          </w:p>
        </w:tc>
      </w:tr>
      <w:tr w14:paraId="1829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3CE10922">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lang w:val="en-US" w:eastAsia="zh-CN"/>
              </w:rPr>
              <w:t>账</w:t>
            </w:r>
            <w:r>
              <w:rPr>
                <w:rFonts w:hint="eastAsia" w:ascii="仿宋_GB2312" w:hAnsi="宋体" w:eastAsia="仿宋_GB2312"/>
                <w:spacing w:val="-20"/>
                <w:kern w:val="0"/>
                <w:sz w:val="28"/>
                <w:szCs w:val="20"/>
              </w:rPr>
              <w:t>号：</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665972E9">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lang w:val="en-US" w:eastAsia="zh-CN"/>
              </w:rPr>
              <w:t>账</w:t>
            </w:r>
            <w:r>
              <w:rPr>
                <w:rFonts w:hint="eastAsia" w:ascii="仿宋_GB2312" w:hAnsi="宋体" w:eastAsia="仿宋_GB2312"/>
                <w:spacing w:val="-20"/>
                <w:kern w:val="0"/>
                <w:sz w:val="28"/>
                <w:szCs w:val="20"/>
              </w:rPr>
              <w:t>号：</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6399AB1B">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lang w:val="en-US" w:eastAsia="zh-CN"/>
              </w:rPr>
              <w:t>账</w:t>
            </w:r>
            <w:r>
              <w:rPr>
                <w:rFonts w:hint="eastAsia" w:ascii="仿宋_GB2312" w:hAnsi="宋体" w:eastAsia="仿宋_GB2312"/>
                <w:spacing w:val="-20"/>
                <w:kern w:val="0"/>
                <w:sz w:val="28"/>
                <w:szCs w:val="20"/>
              </w:rPr>
              <w:t>号：</w:t>
            </w:r>
          </w:p>
        </w:tc>
      </w:tr>
      <w:tr w14:paraId="2AA8B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3754EEF1">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日期：</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 xml:space="preserve">年 </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 xml:space="preserve"> 月 </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日</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6E0E75F1">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日期：</w:t>
            </w:r>
            <w:r>
              <w:rPr>
                <w:rFonts w:hint="eastAsia" w:ascii="仿宋_GB2312" w:hAnsi="宋体" w:eastAsia="仿宋_GB2312"/>
                <w:spacing w:val="-20"/>
                <w:kern w:val="0"/>
                <w:sz w:val="28"/>
                <w:szCs w:val="20"/>
                <w:lang w:val="en-US" w:eastAsia="zh-CN"/>
              </w:rPr>
              <w:t xml:space="preserve">   </w:t>
            </w:r>
            <w:r>
              <w:rPr>
                <w:rFonts w:ascii="仿宋_GB2312" w:hAnsi="宋体" w:eastAsia="仿宋_GB2312"/>
                <w:spacing w:val="-20"/>
                <w:kern w:val="0"/>
                <w:sz w:val="28"/>
                <w:szCs w:val="20"/>
              </w:rPr>
              <w:t xml:space="preserve"> </w:t>
            </w:r>
            <w:r>
              <w:rPr>
                <w:rFonts w:hint="eastAsia" w:ascii="仿宋_GB2312" w:hAnsi="宋体" w:eastAsia="仿宋_GB2312"/>
                <w:spacing w:val="-20"/>
                <w:kern w:val="0"/>
                <w:sz w:val="28"/>
                <w:szCs w:val="20"/>
              </w:rPr>
              <w:t>年</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 xml:space="preserve">月 </w:t>
            </w:r>
            <w:r>
              <w:rPr>
                <w:rFonts w:ascii="仿宋_GB2312" w:hAnsi="宋体" w:eastAsia="仿宋_GB2312"/>
                <w:spacing w:val="-20"/>
                <w:kern w:val="0"/>
                <w:sz w:val="28"/>
                <w:szCs w:val="20"/>
              </w:rPr>
              <w:t xml:space="preserve"> </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 xml:space="preserve"> 日</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6B4638A0">
            <w:pPr>
              <w:autoSpaceDE w:val="0"/>
              <w:autoSpaceDN w:val="0"/>
              <w:adjustRightInd w:val="0"/>
              <w:spacing w:line="360" w:lineRule="auto"/>
              <w:jc w:val="left"/>
              <w:rPr>
                <w:rFonts w:hint="eastAsia" w:ascii="仿宋_GB2312" w:hAnsi="宋体" w:eastAsia="仿宋_GB2312"/>
                <w:spacing w:val="-20"/>
                <w:kern w:val="0"/>
                <w:sz w:val="28"/>
                <w:szCs w:val="20"/>
              </w:rPr>
            </w:pPr>
            <w:r>
              <w:rPr>
                <w:rFonts w:hint="eastAsia" w:ascii="仿宋_GB2312" w:hAnsi="宋体" w:eastAsia="仿宋_GB2312"/>
                <w:spacing w:val="-20"/>
                <w:kern w:val="0"/>
                <w:sz w:val="28"/>
                <w:szCs w:val="20"/>
              </w:rPr>
              <w:t xml:space="preserve">日期： </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 xml:space="preserve">年 </w:t>
            </w:r>
            <w:r>
              <w:rPr>
                <w:rFonts w:hint="eastAsia" w:ascii="仿宋_GB2312" w:hAnsi="宋体" w:eastAsia="仿宋_GB2312"/>
                <w:spacing w:val="-20"/>
                <w:kern w:val="0"/>
                <w:sz w:val="28"/>
                <w:szCs w:val="20"/>
                <w:lang w:val="en-US" w:eastAsia="zh-CN"/>
              </w:rPr>
              <w:t xml:space="preserve">   </w:t>
            </w:r>
            <w:r>
              <w:rPr>
                <w:rFonts w:hint="eastAsia" w:ascii="仿宋_GB2312" w:hAnsi="宋体" w:eastAsia="仿宋_GB2312"/>
                <w:spacing w:val="-20"/>
                <w:kern w:val="0"/>
                <w:sz w:val="28"/>
                <w:szCs w:val="20"/>
              </w:rPr>
              <w:t>月     日</w:t>
            </w:r>
          </w:p>
        </w:tc>
      </w:tr>
    </w:tbl>
    <w:p w14:paraId="02F73B44">
      <w:pPr>
        <w:rPr>
          <w:rFonts w:ascii="Times New Roman" w:hAnsi="Times New Roman" w:cs="Times New Roman"/>
        </w:rPr>
      </w:pPr>
    </w:p>
    <w:p w14:paraId="439FA1E2"/>
    <w:p w14:paraId="6AA5A3BF">
      <w:pPr>
        <w:pStyle w:val="2"/>
      </w:pP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AFDD8">
    <w:pPr>
      <w:pStyle w:val="4"/>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F8D68B3">
                          <w:pPr>
                            <w:pStyle w:val="4"/>
                          </w:pPr>
                          <w:r>
                            <w:fldChar w:fldCharType="begin"/>
                          </w:r>
                          <w:r>
                            <w:instrText xml:space="preserve"> PAGE  \* MERGEFORMAT </w:instrText>
                          </w:r>
                          <w:r>
                            <w:fldChar w:fldCharType="separate"/>
                          </w:r>
                          <w:r>
                            <w:t>11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14:paraId="1F8D68B3">
                    <w:pPr>
                      <w:pStyle w:val="4"/>
                    </w:pPr>
                    <w:r>
                      <w:fldChar w:fldCharType="begin"/>
                    </w:r>
                    <w:r>
                      <w:instrText xml:space="preserve"> PAGE  \* MERGEFORMAT </w:instrText>
                    </w:r>
                    <w:r>
                      <w:fldChar w:fldCharType="separate"/>
                    </w:r>
                    <w:r>
                      <w:t>11</w:t>
                    </w:r>
                    <w:r>
                      <w:fldChar w:fldCharType="end"/>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2092DDD">
                          <w:pPr>
                            <w:pStyle w:val="4"/>
                          </w:pPr>
                        </w:p>
                      </w:txbxContent>
                    </wps:txbx>
                    <wps:bodyPr vert="horz" wrap="none" lIns="0" tIns="0" rIns="0" bIns="0" anchor="t">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De+8sHKAQAAkgMAAA4AAAAAAAAAAQAgAAAAHwEAAGRycy9lMm9E&#10;b2MueG1sUEsFBgAAAAAGAAYAWQEAAFsFAAAAAA==&#10;">
              <v:fill on="f" focussize="0,0"/>
              <v:stroke on="f"/>
              <v:imagedata o:title=""/>
              <o:lock v:ext="edit" aspectratio="f"/>
              <v:textbox inset="0mm,0mm,0mm,0mm" style="mso-fit-shape-to-text:t;">
                <w:txbxContent>
                  <w:p w14:paraId="02092DDD">
                    <w:pPr>
                      <w:pStyle w:val="4"/>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C6D4D">
    <w:pPr>
      <w:pStyle w:val="4"/>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6E4183A">
                          <w:pPr>
                            <w:pStyle w:val="4"/>
                          </w:pPr>
                          <w:r>
                            <w:fldChar w:fldCharType="begin"/>
                          </w:r>
                          <w:r>
                            <w:instrText xml:space="preserve"> PAGE  \* MERGEFORMAT </w:instrText>
                          </w:r>
                          <w:r>
                            <w:fldChar w:fldCharType="separate"/>
                          </w:r>
                          <w:r>
                            <w:t>11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KmYXGAQAAj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iMvDLfHSO0zt9Rs7DBxoHfK6qaZSoPwPM+nnv6j7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H8qZhcYBAACPAwAADgAAAAAAAAABACAAAAAfAQAAZHJzL2Uyb0RvYy54&#10;bWxQSwUGAAAAAAYABgBZAQAAVwUAAAAA&#10;">
              <v:fill on="f" focussize="0,0"/>
              <v:stroke on="f"/>
              <v:imagedata o:title=""/>
              <o:lock v:ext="edit" aspectratio="f"/>
              <v:textbox inset="0mm,0mm,0mm,0mm" style="mso-fit-shape-to-text:t;">
                <w:txbxContent>
                  <w:p w14:paraId="46E4183A">
                    <w:pPr>
                      <w:pStyle w:val="4"/>
                    </w:pPr>
                    <w:r>
                      <w:fldChar w:fldCharType="begin"/>
                    </w:r>
                    <w:r>
                      <w:instrText xml:space="preserve"> PAGE  \* MERGEFORMAT </w:instrText>
                    </w:r>
                    <w:r>
                      <w:fldChar w:fldCharType="separate"/>
                    </w:r>
                    <w:r>
                      <w:t>11</w:t>
                    </w:r>
                    <w:r>
                      <w:fldChar w:fldCharType="end"/>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86B8B5A">
                          <w:pPr>
                            <w:pStyle w:val="4"/>
                          </w:pPr>
                        </w:p>
                      </w:txbxContent>
                    </wps:txbx>
                    <wps:bodyPr vert="horz" wrap="none" lIns="0" tIns="0" rIns="0" bIns="0" anchor="t">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XW5UtAAAAAFAQAADwAAAAAAAAABACAAAAAiAAAAZHJzL2Rvd25yZXYueG1s&#10;UEsBAhQAFAAAAAgAh07iQLJeIqfHAQAAjwMAAA4AAAAAAAAAAQAgAAAAHwEAAGRycy9lMm9Eb2Mu&#10;eG1sUEsFBgAAAAAGAAYAWQEAAFgFAAAAAA==&#10;">
              <v:fill on="f" focussize="0,0"/>
              <v:stroke on="f"/>
              <v:imagedata o:title=""/>
              <o:lock v:ext="edit" aspectratio="f"/>
              <v:textbox inset="0mm,0mm,0mm,0mm" style="mso-fit-shape-to-text:t;">
                <w:txbxContent>
                  <w:p w14:paraId="486B8B5A">
                    <w:pPr>
                      <w:pStyle w:val="4"/>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12653"/>
    <w:multiLevelType w:val="singleLevel"/>
    <w:tmpl w:val="53B12653"/>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E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宋体"/>
      <w:kern w:val="2"/>
      <w:sz w:val="21"/>
      <w:szCs w:val="24"/>
      <w:lang w:val="en-US" w:eastAsia="zh-CN" w:bidi="ar-SA"/>
    </w:rPr>
  </w:style>
  <w:style w:type="paragraph" w:styleId="3">
    <w:name w:val="heading 1"/>
    <w:basedOn w:val="1"/>
    <w:next w:val="1"/>
    <w:qFormat/>
    <w:uiPriority w:val="9"/>
    <w:pPr>
      <w:keepNext/>
      <w:keepLines/>
      <w:spacing w:before="200" w:after="200"/>
      <w:outlineLvl w:val="0"/>
    </w:pPr>
    <w:rPr>
      <w:b/>
      <w:bCs/>
      <w:kern w:val="44"/>
      <w:sz w:val="32"/>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line="560" w:lineRule="atLeast"/>
    </w:pPr>
    <w:rPr>
      <w:rFonts w:ascii="楷体_GB2312" w:eastAsia="楷体_GB2312" w:cs="Times New Roman"/>
      <w:sz w:val="28"/>
      <w:szCs w:val="22"/>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2026-08-07T08:00:53Z</dcterms:created>
  <dc:creator>Administrator</dc:creator>
  <cp:lastModifiedBy>Queen €</cp:lastModifiedBy>
  <dcterms:modified xsi:type="dcterms:W3CDTF">2026-08-07T08:02:03Z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9E086C7EA6EF42678AF1A4C512DC12FC_12</vt:lpwstr>
  </property>
</Properties>
</file>