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版本号：FHGJ-ZC-2026-0714.1.2B120260820001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陕西周至国家级自然保护区2026年度中央财政林业草原生态保护恢复资金项目-保护监测设备购置及生态保护宣传教育(二次)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FHGJ-ZC-2026-0714.1.2B1</w:t>
      </w:r>
      <w:r>
        <w:br/>
      </w:r>
      <w:r>
        <w:br/>
      </w:r>
      <w:r>
        <w:br/>
      </w:r>
    </w:p>
    <w:p>
      <w:pPr>
        <w:pStyle w:val="null3"/>
        <w:jc w:val="center"/>
        <w:outlineLvl w:val="2"/>
      </w:pPr>
      <w:r>
        <w:rPr>
          <w:rFonts w:ascii="仿宋_GB2312" w:hAnsi="仿宋_GB2312" w:cs="仿宋_GB2312" w:eastAsia="仿宋_GB2312"/>
          <w:sz w:val="28"/>
          <w:b/>
        </w:rPr>
        <w:t>陕西周至国家级自然保护区管理局</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陕西周至国家级自然保护区管理局</w:t>
      </w:r>
      <w:r>
        <w:rPr>
          <w:rFonts w:ascii="仿宋_GB2312" w:hAnsi="仿宋_GB2312" w:cs="仿宋_GB2312" w:eastAsia="仿宋_GB2312"/>
        </w:rPr>
        <w:t>委托，拟对</w:t>
      </w:r>
      <w:r>
        <w:rPr>
          <w:rFonts w:ascii="仿宋_GB2312" w:hAnsi="仿宋_GB2312" w:cs="仿宋_GB2312" w:eastAsia="仿宋_GB2312"/>
        </w:rPr>
        <w:t>陕西周至国家级自然保护区2026年度中央财政林业草原生态保护恢复资金项目-保护监测设备购置及生态保护宣传教育(二次)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FHGJ-ZC-2026-0714.1.2B1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陕西周至国家级自然保护区2026年度中央财政林业草原生态保护恢复资金项目-保护监测设备购置及生态保护宣传教育(二次)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生态保护宣传教育：1.科普宣传线路建设：①引导与解说标识系统：入口标识1个，入口引导牌1个，解说牌10块，安全提示牌10块；②安全防护设施：安全围栏60米；③生态休憩设施：仿木凳8个，野生动物足迹1组。2.野生鸟类保护宣教平台搭建：①制作喷绘灯箱3个，标识标牌10块；②核心展品与技术设备：制作高仿真鸟类模型8具；③生境模拟场景1套；④森林卫士体验站：互动体验装置1套，科普展示墙1组；⑤野生动物声音体验点：隐蔽式音响系统2套，声音互动面板1套。3.保护宣传标识标牌17套；检查站出入宣传牌4套。保护监测设施设备购置：1、被动声学监测设备10台；2、红外相机100台；3、多功能卫星热点终端3台；4、监测强光手电24个；5、野外监测移动电源5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采购包1（生态保护宣传教育）：属于专门面向中小企业采购。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1、法人授权书（证明书）：法定代表人参加磋商时，提供法定代表人证明书；授权代表参加磋商时，提供法定代表人授权书；非法人单位参照执行。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陕西周至国家级自然保护区管理局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周至县农商街2号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郭老师（保护监测设施设备购置）、李⽼师（⽣态保护宣传教育）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029-87121021（保护监测设施设备购置）、029-85138723（⽣态保护宣传教育）</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15109299905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p>
          <w:p>
            <w:pPr>
              <w:pStyle w:val="null3"/>
            </w:pPr>
            <w:r>
              <w:rPr>
                <w:rFonts w:ascii="仿宋_GB2312" w:hAnsi="仿宋_GB2312" w:cs="仿宋_GB2312" w:eastAsia="仿宋_GB2312"/>
              </w:rPr>
              <w:t>采购包2：474,000.00元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收到中标通知书后十(10)个日历日内，向丰汇国际项目管理有限公司交纳招标代理服务费。代理服务费参照国家计委2002年颁发的《招标代理服务收费管理暂行办法》(计价格〔2002〕1980号)的标准收取。代理服务费账户 ：户名：丰汇国际项目管理有限公司城北分公司 开户银行：中国建设银行股份有限公司西安西门支行 账 号：610 5017 155 0000000 709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踏勘时间：2026-08-31 09:30:00</w:t>
            </w:r>
          </w:p>
          <w:p>
            <w:pPr>
              <w:pStyle w:val="null3"/>
              <w:ind w:firstLine="975"/>
            </w:pPr>
            <w:r>
              <w:rPr>
                <w:rFonts w:ascii="仿宋_GB2312" w:hAnsi="仿宋_GB2312" w:cs="仿宋_GB2312" w:eastAsia="仿宋_GB2312"/>
              </w:rPr>
              <w:t>踏勘地点：陕西周至国家级自然保护区管理局板房子保护站（周至县板房子镇（板房子镇人民政府往南500米）108国道北侧）</w:t>
            </w:r>
          </w:p>
          <w:p>
            <w:pPr>
              <w:pStyle w:val="null3"/>
              <w:ind w:firstLine="975"/>
            </w:pPr>
            <w:r>
              <w:rPr>
                <w:rFonts w:ascii="仿宋_GB2312" w:hAnsi="仿宋_GB2312" w:cs="仿宋_GB2312" w:eastAsia="仿宋_GB2312"/>
              </w:rPr>
              <w:t>联系人：李老师</w:t>
            </w:r>
          </w:p>
          <w:p>
            <w:pPr>
              <w:pStyle w:val="null3"/>
              <w:ind w:firstLine="975"/>
            </w:pPr>
            <w:r>
              <w:rPr>
                <w:rFonts w:ascii="仿宋_GB2312" w:hAnsi="仿宋_GB2312" w:cs="仿宋_GB2312" w:eastAsia="仿宋_GB2312"/>
              </w:rPr>
              <w:t>联系电话号码：029-85138723</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陕西周至国家级自然保护区管理局</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陕西周至国家级自然保护区管理局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陕西周至国家级自然保护区管理局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按照磋商文件及采购合同约定执行。</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按照磋商⽂件要求及合同约定执⾏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按照磋商⽂件要求及合同约定执⾏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联系电话：15109299905</w:t>
      </w:r>
    </w:p>
    <w:p>
      <w:pPr>
        <w:pStyle w:val="null3"/>
      </w:pPr>
      <w:r>
        <w:rPr>
          <w:rFonts w:ascii="仿宋_GB2312" w:hAnsi="仿宋_GB2312" w:cs="仿宋_GB2312" w:eastAsia="仿宋_GB2312"/>
        </w:rPr>
        <w:t>地址：陕西省西安市碑林区长安北路113号大话南门壹中心14楼1401室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生态保护宣传教育：1.科普宣传线路建设：①引导与解说标识系统：入口标识1个，入口引导牌1个，解说牌10块，安全提示牌10块；②安全防护设施：安全围栏60米；③生态休憩设施：仿木凳8个，野生动物足迹1组。2.野生鸟类保护宣教平台搭建：①制作喷绘灯箱3个，标识标牌10块；②核心展品与技术设备：制作高仿真鸟类模型8具；③生境模拟场景1套；④森林卫士体验站：互动体验装置1套，科普展示墙1组；⑤野生动物声音体验点：隐蔽式音响系统2套，声音互动面板1套。3.保护宣传标识标牌17套；检查站出入宣传牌4套。保护监测设施设备购置：1、被动声学监测设备10台；2、红外相机100台；3、多功能卫星热点终端3台；4、监测强光手电24个；5、野外监测移动电源5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生态保护宣传教育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474,000.00</w:t>
      </w:r>
    </w:p>
    <w:p>
      <w:pPr>
        <w:pStyle w:val="null3"/>
      </w:pPr>
      <w:r>
        <w:rPr>
          <w:rFonts w:ascii="仿宋_GB2312" w:hAnsi="仿宋_GB2312" w:cs="仿宋_GB2312" w:eastAsia="仿宋_GB2312"/>
        </w:rPr>
        <w:t>采购包最高限价（元）: 474,000.00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保护监测设施设备购置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标的名称：生态保护宣传教育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围绕陕西周至国家级自然保护区野生动物保护核心任务，通过引进智能化监测设备、构建立体化监测体系、升级宣教设施、强化巡护装备，全面提升保护区的科学研究、资源管护与公众教育能力，建成一个技术先进、运行高效、宣教有力的野生动物监测与保护示范体系，为实现保护区的精准化、智能化管理和可持续发展奠定坚实基础。</w:t>
            </w:r>
          </w:p>
          <w:p>
            <w:pPr>
              <w:pStyle w:val="null3"/>
            </w:pPr>
            <w:r>
              <w:rPr>
                <w:rFonts w:ascii="仿宋_GB2312" w:hAnsi="仿宋_GB2312" w:cs="仿宋_GB2312" w:eastAsia="仿宋_GB2312"/>
                <w:sz w:val="21"/>
              </w:rPr>
              <w:t>本项目打造完成1条具有区域特色的生态科普宣传线路和1个内容丰富的野生鸟类保护宣教平台，使其成为区内生态文化展示与教育的主阵地，科普宣教年接待人数将由9500人次增长20%-30%。在保护区关键节点布设保护宣传标识标牌17套、检查站宣传牌4套，形成覆盖全面的静态宣教警示体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科普宣传线路建设：①引导与解说标识系统：入口标识1个，入口引导牌1个，解说牌10块，安全提示牌10块；②安全防护设施：安全围栏60米；③生态休憩设施：仿木凳8个，野生动物足迹1组。二是野生鸟类保护宣教平台搭建：①制作喷绘灯箱3个，标识标牌10块；②核心展品与技术设备：制作高仿真鸟类模型8具；③生境模拟场景1套；④森林卫士体验站：互动体验装置1套，科普展示墙1组；⑤野生动物声音体验点：隐蔽式音响系统2套，声音互动面板1套。三是保护宣传标识标牌17套；检查站出入宣传牌4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核心产品：解说牌</w:t>
            </w:r>
            <w:r>
              <w:rPr>
                <w:rFonts w:ascii="仿宋_GB2312" w:hAnsi="仿宋_GB2312" w:cs="仿宋_GB2312" w:eastAsia="仿宋_GB2312"/>
                <w:sz w:val="21"/>
                <w:b/>
              </w:rPr>
              <w:t>、生境模拟场景、保护宣传标识标牌</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77"/>
              <w:gridCol w:w="341"/>
              <w:gridCol w:w="140"/>
              <w:gridCol w:w="1482"/>
              <w:gridCol w:w="238"/>
              <w:gridCol w:w="158"/>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建设</w:t>
                  </w:r>
                </w:p>
                <w:p>
                  <w:pPr>
                    <w:pStyle w:val="null3"/>
                    <w:jc w:val="center"/>
                  </w:pPr>
                  <w:r>
                    <w:rPr>
                      <w:rFonts w:ascii="仿宋_GB2312" w:hAnsi="仿宋_GB2312" w:cs="仿宋_GB2312" w:eastAsia="仿宋_GB2312"/>
                      <w:sz w:val="20"/>
                      <w:b/>
                    </w:rPr>
                    <w:t>内容</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技术规格</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235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引导与解说标识系统</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入口标识</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材质：浅灰花岗岩</w:t>
                  </w:r>
                  <w:r>
                    <w:rPr>
                      <w:rFonts w:ascii="仿宋_GB2312" w:hAnsi="仿宋_GB2312" w:cs="仿宋_GB2312" w:eastAsia="仿宋_GB2312"/>
                      <w:sz w:val="19"/>
                    </w:rPr>
                    <w:t xml:space="preserve"> + </w:t>
                  </w:r>
                  <w:r>
                    <w:rPr>
                      <w:rFonts w:ascii="仿宋_GB2312" w:hAnsi="仿宋_GB2312" w:cs="仿宋_GB2312" w:eastAsia="仿宋_GB2312"/>
                      <w:sz w:val="19"/>
                    </w:rPr>
                    <w:t>防腐碳化原木；文字采用</w:t>
                  </w:r>
                  <w:r>
                    <w:rPr>
                      <w:rFonts w:ascii="仿宋_GB2312" w:hAnsi="仿宋_GB2312" w:cs="仿宋_GB2312" w:eastAsia="仿宋_GB2312"/>
                      <w:sz w:val="19"/>
                    </w:rPr>
                    <w:t xml:space="preserve">UV </w:t>
                  </w:r>
                  <w:r>
                    <w:rPr>
                      <w:rFonts w:ascii="仿宋_GB2312" w:hAnsi="仿宋_GB2312" w:cs="仿宋_GB2312" w:eastAsia="仿宋_GB2312"/>
                      <w:sz w:val="19"/>
                    </w:rPr>
                    <w:t>数码打印；图案采用立体浮雕工艺；</w:t>
                  </w:r>
                </w:p>
                <w:p>
                  <w:pPr>
                    <w:pStyle w:val="null3"/>
                  </w:pPr>
                  <w:r>
                    <w:rPr>
                      <w:rFonts w:ascii="仿宋_GB2312" w:hAnsi="仿宋_GB2312" w:cs="仿宋_GB2312" w:eastAsia="仿宋_GB2312"/>
                      <w:sz w:val="19"/>
                    </w:rPr>
                    <w:t>2、</w:t>
                  </w:r>
                  <w:r>
                    <w:rPr>
                      <w:rFonts w:ascii="仿宋_GB2312" w:hAnsi="仿宋_GB2312" w:cs="仿宋_GB2312" w:eastAsia="仿宋_GB2312"/>
                      <w:sz w:val="19"/>
                    </w:rPr>
                    <w:t>尺寸：总宽</w:t>
                  </w:r>
                  <w:r>
                    <w:rPr>
                      <w:rFonts w:ascii="仿宋_GB2312" w:hAnsi="仿宋_GB2312" w:cs="仿宋_GB2312" w:eastAsia="仿宋_GB2312"/>
                      <w:sz w:val="19"/>
                    </w:rPr>
                    <w:t>4800mm</w:t>
                  </w:r>
                  <w:r>
                    <w:rPr>
                      <w:rFonts w:ascii="仿宋_GB2312" w:hAnsi="仿宋_GB2312" w:cs="仿宋_GB2312" w:eastAsia="仿宋_GB2312"/>
                      <w:sz w:val="19"/>
                    </w:rPr>
                    <w:t>，高</w:t>
                  </w:r>
                  <w:r>
                    <w:rPr>
                      <w:rFonts w:ascii="仿宋_GB2312" w:hAnsi="仿宋_GB2312" w:cs="仿宋_GB2312" w:eastAsia="仿宋_GB2312"/>
                      <w:sz w:val="19"/>
                    </w:rPr>
                    <w:t>2400mm</w:t>
                  </w:r>
                  <w:r>
                    <w:rPr>
                      <w:rFonts w:ascii="仿宋_GB2312" w:hAnsi="仿宋_GB2312" w:cs="仿宋_GB2312" w:eastAsia="仿宋_GB2312"/>
                      <w:sz w:val="19"/>
                    </w:rPr>
                    <w:t>；</w:t>
                  </w:r>
                </w:p>
                <w:p>
                  <w:pPr>
                    <w:pStyle w:val="null3"/>
                  </w:pPr>
                  <w:r>
                    <w:rPr>
                      <w:rFonts w:ascii="仿宋_GB2312" w:hAnsi="仿宋_GB2312" w:cs="仿宋_GB2312" w:eastAsia="仿宋_GB2312"/>
                      <w:sz w:val="19"/>
                    </w:rPr>
                    <w:t>3、</w:t>
                  </w:r>
                  <w:r>
                    <w:rPr>
                      <w:rFonts w:ascii="仿宋_GB2312" w:hAnsi="仿宋_GB2312" w:cs="仿宋_GB2312" w:eastAsia="仿宋_GB2312"/>
                      <w:sz w:val="19"/>
                    </w:rPr>
                    <w:t>颜色：主色深棕、麻灰、墨绿，白色和深棕色字体；</w:t>
                  </w:r>
                </w:p>
                <w:p>
                  <w:pPr>
                    <w:pStyle w:val="null3"/>
                  </w:pPr>
                  <w:r>
                    <w:rPr>
                      <w:rFonts w:ascii="仿宋_GB2312" w:hAnsi="仿宋_GB2312" w:cs="仿宋_GB2312" w:eastAsia="仿宋_GB2312"/>
                      <w:sz w:val="19"/>
                    </w:rPr>
                    <w:t>4、</w:t>
                  </w:r>
                  <w:r>
                    <w:rPr>
                      <w:rFonts w:ascii="仿宋_GB2312" w:hAnsi="仿宋_GB2312" w:cs="仿宋_GB2312" w:eastAsia="仿宋_GB2312"/>
                      <w:sz w:val="19"/>
                    </w:rPr>
                    <w:t>内容：周至自然保护区大熊猫生态廊道的简介、建设的背景、植被的分布情况和野生动物的分布情况；</w:t>
                  </w:r>
                </w:p>
                <w:p>
                  <w:pPr>
                    <w:pStyle w:val="null3"/>
                  </w:pPr>
                  <w:r>
                    <w:rPr>
                      <w:rFonts w:ascii="仿宋_GB2312" w:hAnsi="仿宋_GB2312" w:cs="仿宋_GB2312" w:eastAsia="仿宋_GB2312"/>
                      <w:sz w:val="19"/>
                    </w:rPr>
                    <w:t>位置：周至自然保护区大熊猫生态廊道科普路线入口处（南天门隧道）。</w:t>
                  </w:r>
                </w:p>
                <w:p>
                  <w:pPr>
                    <w:pStyle w:val="null3"/>
                  </w:pPr>
                  <w:r>
                    <w:rPr>
                      <w:rFonts w:ascii="仿宋_GB2312" w:hAnsi="仿宋_GB2312" w:cs="仿宋_GB2312" w:eastAsia="仿宋_GB2312"/>
                      <w:sz w:val="19"/>
                    </w:rPr>
                    <w:t>注：示意图见采购文件附件</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引导牌</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材质：浅灰花岗岩收边</w:t>
                  </w:r>
                  <w:r>
                    <w:rPr>
                      <w:rFonts w:ascii="仿宋_GB2312" w:hAnsi="仿宋_GB2312" w:cs="仿宋_GB2312" w:eastAsia="仿宋_GB2312"/>
                      <w:sz w:val="19"/>
                    </w:rPr>
                    <w:t>/ 碳化仿木面；底色采用深棕木纹底 + 米白 / 浅灰文字；科普实景图/动物配图UV打印；</w:t>
                  </w:r>
                </w:p>
                <w:p>
                  <w:pPr>
                    <w:pStyle w:val="null3"/>
                  </w:pPr>
                  <w:r>
                    <w:rPr>
                      <w:rFonts w:ascii="仿宋_GB2312" w:hAnsi="仿宋_GB2312" w:cs="仿宋_GB2312" w:eastAsia="仿宋_GB2312"/>
                      <w:sz w:val="19"/>
                    </w:rPr>
                    <w:t>2、</w:t>
                  </w:r>
                  <w:r>
                    <w:rPr>
                      <w:rFonts w:ascii="仿宋_GB2312" w:hAnsi="仿宋_GB2312" w:cs="仿宋_GB2312" w:eastAsia="仿宋_GB2312"/>
                      <w:sz w:val="19"/>
                    </w:rPr>
                    <w:t>尺寸：板面宽</w:t>
                  </w:r>
                  <w:r>
                    <w:rPr>
                      <w:rFonts w:ascii="仿宋_GB2312" w:hAnsi="仿宋_GB2312" w:cs="仿宋_GB2312" w:eastAsia="仿宋_GB2312"/>
                      <w:sz w:val="19"/>
                    </w:rPr>
                    <w:t>1400mm，高700mm，板厚75mm，牌体总高度1500mm，总宽度为1700mm；文字采用UV 数码打印；图案采用立体浮雕工艺；</w:t>
                  </w:r>
                </w:p>
                <w:p>
                  <w:pPr>
                    <w:pStyle w:val="null3"/>
                  </w:pPr>
                  <w:r>
                    <w:rPr>
                      <w:rFonts w:ascii="仿宋_GB2312" w:hAnsi="仿宋_GB2312" w:cs="仿宋_GB2312" w:eastAsia="仿宋_GB2312"/>
                      <w:sz w:val="19"/>
                    </w:rPr>
                    <w:t>3、</w:t>
                  </w:r>
                  <w:r>
                    <w:rPr>
                      <w:rFonts w:ascii="仿宋_GB2312" w:hAnsi="仿宋_GB2312" w:cs="仿宋_GB2312" w:eastAsia="仿宋_GB2312"/>
                      <w:sz w:val="19"/>
                    </w:rPr>
                    <w:t>颜色：</w:t>
                  </w:r>
                  <w:r>
                    <w:rPr>
                      <w:rFonts w:ascii="仿宋_GB2312" w:hAnsi="仿宋_GB2312" w:cs="仿宋_GB2312" w:eastAsia="仿宋_GB2312"/>
                      <w:sz w:val="19"/>
                    </w:rPr>
                    <w:t>棕白配色，白色字体，实景彩图；</w:t>
                  </w:r>
                </w:p>
                <w:p>
                  <w:pPr>
                    <w:pStyle w:val="null3"/>
                  </w:pPr>
                  <w:r>
                    <w:rPr>
                      <w:rFonts w:ascii="仿宋_GB2312" w:hAnsi="仿宋_GB2312" w:cs="仿宋_GB2312" w:eastAsia="仿宋_GB2312"/>
                      <w:sz w:val="19"/>
                    </w:rPr>
                    <w:t>4、</w:t>
                  </w:r>
                  <w:r>
                    <w:rPr>
                      <w:rFonts w:ascii="仿宋_GB2312" w:hAnsi="仿宋_GB2312" w:cs="仿宋_GB2312" w:eastAsia="仿宋_GB2312"/>
                      <w:sz w:val="19"/>
                    </w:rPr>
                    <w:t>内容：生态廊道的路线图，游览注意事项等；</w:t>
                  </w:r>
                </w:p>
                <w:p>
                  <w:pPr>
                    <w:pStyle w:val="null3"/>
                  </w:pPr>
                  <w:r>
                    <w:rPr>
                      <w:rFonts w:ascii="仿宋_GB2312" w:hAnsi="仿宋_GB2312" w:cs="仿宋_GB2312" w:eastAsia="仿宋_GB2312"/>
                      <w:sz w:val="19"/>
                    </w:rPr>
                    <w:t>位置：进入周至自然保护区大熊猫生态廊道科普路线入口往前大约</w:t>
                  </w:r>
                  <w:r>
                    <w:rPr>
                      <w:rFonts w:ascii="仿宋_GB2312" w:hAnsi="仿宋_GB2312" w:cs="仿宋_GB2312" w:eastAsia="仿宋_GB2312"/>
                      <w:sz w:val="19"/>
                    </w:rPr>
                    <w:t>10m处。</w:t>
                  </w:r>
                </w:p>
                <w:p>
                  <w:pPr>
                    <w:pStyle w:val="null3"/>
                  </w:pPr>
                  <w:r>
                    <w:rPr>
                      <w:rFonts w:ascii="仿宋_GB2312" w:hAnsi="仿宋_GB2312" w:cs="仿宋_GB2312" w:eastAsia="仿宋_GB2312"/>
                      <w:sz w:val="19"/>
                    </w:rPr>
                    <w:t>注：示意图见采购文件附件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解说牌</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材质：牌体的材质和颜色采用碳化仿木面；文字采用</w:t>
                  </w:r>
                  <w:r>
                    <w:rPr>
                      <w:rFonts w:ascii="仿宋_GB2312" w:hAnsi="仿宋_GB2312" w:cs="仿宋_GB2312" w:eastAsia="仿宋_GB2312"/>
                      <w:sz w:val="20"/>
                    </w:rPr>
                    <w:t>UV 数码打印；图案采用立体浮雕工艺；</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颜色：牌体底色采用深棕木纹底</w:t>
                  </w:r>
                  <w:r>
                    <w:rPr>
                      <w:rFonts w:ascii="仿宋_GB2312" w:hAnsi="仿宋_GB2312" w:cs="仿宋_GB2312" w:eastAsia="仿宋_GB2312"/>
                      <w:sz w:val="20"/>
                    </w:rPr>
                    <w:t>+ 白色文字和图案；</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内容：位于线路沿线，包括植物解说牌、红外相机监测点解说牌，虫情测报灯解说牌、生态廊道解说牌，观景平台解说牌等；</w:t>
                  </w:r>
                </w:p>
                <w:p>
                  <w:pPr>
                    <w:pStyle w:val="null3"/>
                    <w:jc w:val="both"/>
                  </w:pPr>
                  <w:r>
                    <w:rPr>
                      <w:rFonts w:ascii="仿宋_GB2312" w:hAnsi="仿宋_GB2312" w:cs="仿宋_GB2312" w:eastAsia="仿宋_GB2312"/>
                      <w:sz w:val="20"/>
                    </w:rPr>
                    <w:t>位置：科普线路各动植物观测点位、现有观景平台处、新建观景平台处。</w:t>
                  </w:r>
                </w:p>
                <w:p>
                  <w:pPr>
                    <w:pStyle w:val="null3"/>
                    <w:jc w:val="both"/>
                  </w:pPr>
                  <w:r>
                    <w:rPr>
                      <w:rFonts w:ascii="仿宋_GB2312" w:hAnsi="仿宋_GB2312" w:cs="仿宋_GB2312" w:eastAsia="仿宋_GB2312"/>
                      <w:sz w:val="20"/>
                    </w:rPr>
                    <w:t>注：示意图见采购文件附件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安全提示牌</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材质：整体不锈钢基材</w:t>
                  </w:r>
                  <w:r>
                    <w:rPr>
                      <w:rFonts w:ascii="仿宋_GB2312" w:hAnsi="仿宋_GB2312" w:cs="仿宋_GB2312" w:eastAsia="仿宋_GB2312"/>
                      <w:sz w:val="20"/>
                    </w:rPr>
                    <w:t>+仿木纹烤漆；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尺寸：牌面</w:t>
                  </w:r>
                  <w:r>
                    <w:rPr>
                      <w:rFonts w:ascii="仿宋_GB2312" w:hAnsi="仿宋_GB2312" w:cs="仿宋_GB2312" w:eastAsia="仿宋_GB2312"/>
                      <w:sz w:val="20"/>
                    </w:rPr>
                    <w:t>400mm×300mm×50mm，立柱高500mm；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颜色：棕色仿木底色，白色字体；</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内容：</w:t>
                  </w:r>
                  <w:r>
                    <w:rPr>
                      <w:rFonts w:ascii="仿宋_GB2312" w:hAnsi="仿宋_GB2312" w:cs="仿宋_GB2312" w:eastAsia="仿宋_GB2312"/>
                      <w:sz w:val="20"/>
                    </w:rPr>
                    <w:t>“请勿靠近山体”“小心落石”“悬崖临空，切勿靠近”“小心野生动物出没”“严防山林火”等警示标语；</w:t>
                  </w:r>
                </w:p>
                <w:p>
                  <w:pPr>
                    <w:pStyle w:val="null3"/>
                    <w:jc w:val="both"/>
                  </w:pPr>
                  <w:r>
                    <w:rPr>
                      <w:rFonts w:ascii="仿宋_GB2312" w:hAnsi="仿宋_GB2312" w:cs="仿宋_GB2312" w:eastAsia="仿宋_GB2312"/>
                      <w:sz w:val="20"/>
                    </w:rPr>
                    <w:t>位置：步道临崖、陡坡、野生动物出没等危险路段。</w:t>
                  </w:r>
                </w:p>
                <w:p>
                  <w:pPr>
                    <w:pStyle w:val="null3"/>
                    <w:jc w:val="both"/>
                  </w:pPr>
                  <w:r>
                    <w:rPr>
                      <w:rFonts w:ascii="仿宋_GB2312" w:hAnsi="仿宋_GB2312" w:cs="仿宋_GB2312" w:eastAsia="仿宋_GB2312"/>
                      <w:sz w:val="20"/>
                    </w:rPr>
                    <w:t>注：示意图见采购文件附件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安全防护护栏</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材质：钢制立柱</w:t>
                  </w:r>
                  <w:r>
                    <w:rPr>
                      <w:rFonts w:ascii="仿宋_GB2312" w:hAnsi="仿宋_GB2312" w:cs="仿宋_GB2312" w:eastAsia="仿宋_GB2312"/>
                      <w:sz w:val="20"/>
                    </w:rPr>
                    <w:t>+镀锌钢丝绳，立柱防腐喷漆处理；</w:t>
                  </w:r>
                </w:p>
                <w:p>
                  <w:pPr>
                    <w:pStyle w:val="null3"/>
                    <w:jc w:val="both"/>
                  </w:pPr>
                  <w:r>
                    <w:rPr>
                      <w:rFonts w:ascii="仿宋_GB2312" w:hAnsi="仿宋_GB2312" w:cs="仿宋_GB2312" w:eastAsia="仿宋_GB2312"/>
                      <w:sz w:val="20"/>
                    </w:rPr>
                    <w:t>尺寸：立柱常规高</w:t>
                  </w:r>
                  <w:r>
                    <w:rPr>
                      <w:rFonts w:ascii="仿宋_GB2312" w:hAnsi="仿宋_GB2312" w:cs="仿宋_GB2312" w:eastAsia="仿宋_GB2312"/>
                      <w:sz w:val="20"/>
                    </w:rPr>
                    <w:t>1500mm，立柱间距3000mm，配双层钢丝绳；</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颜色：立柱仿木红棕烤漆、钢丝绳深灰黑色；</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内容：步道临边安全防护围栏，双层绳索围挡防跌落；</w:t>
                  </w:r>
                </w:p>
                <w:p>
                  <w:pPr>
                    <w:pStyle w:val="null3"/>
                    <w:jc w:val="both"/>
                  </w:pPr>
                  <w:r>
                    <w:rPr>
                      <w:rFonts w:ascii="仿宋_GB2312" w:hAnsi="仿宋_GB2312" w:cs="仿宋_GB2312" w:eastAsia="仿宋_GB2312"/>
                      <w:sz w:val="20"/>
                    </w:rPr>
                    <w:t>位置：现有观景平台处、秦岭隧道南侧大桥上方。</w:t>
                  </w:r>
                </w:p>
                <w:p>
                  <w:pPr>
                    <w:pStyle w:val="null3"/>
                    <w:jc w:val="both"/>
                  </w:pPr>
                  <w:r>
                    <w:rPr>
                      <w:rFonts w:ascii="仿宋_GB2312" w:hAnsi="仿宋_GB2312" w:cs="仿宋_GB2312" w:eastAsia="仿宋_GB2312"/>
                      <w:sz w:val="20"/>
                    </w:rPr>
                    <w:t>注：示意图见采购文件附件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仿木凳</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材质：钢筋混凝土</w:t>
                  </w:r>
                  <w:r>
                    <w:rPr>
                      <w:rFonts w:ascii="仿宋_GB2312" w:hAnsi="仿宋_GB2312" w:cs="仿宋_GB2312" w:eastAsia="仿宋_GB2312"/>
                      <w:sz w:val="20"/>
                    </w:rPr>
                    <w:t>/玻璃钢仿原木工艺，仿真树皮纹理；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尺寸：凳面长</w:t>
                  </w:r>
                  <w:r>
                    <w:rPr>
                      <w:rFonts w:ascii="仿宋_GB2312" w:hAnsi="仿宋_GB2312" w:cs="仿宋_GB2312" w:eastAsia="仿宋_GB2312"/>
                      <w:sz w:val="20"/>
                    </w:rPr>
                    <w:t>1500mm、宽400mm，凳高500mm；</w:t>
                  </w:r>
                </w:p>
                <w:p>
                  <w:pPr>
                    <w:pStyle w:val="null3"/>
                    <w:jc w:val="both"/>
                  </w:pPr>
                  <w:r>
                    <w:rPr>
                      <w:rFonts w:ascii="仿宋_GB2312" w:hAnsi="仿宋_GB2312" w:cs="仿宋_GB2312" w:eastAsia="仿宋_GB2312"/>
                      <w:sz w:val="20"/>
                    </w:rPr>
                    <w:t>颜色：天然原木黄褐色，深浅木纹相间；</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内容：游客休憩座椅，原生态仿生造型；</w:t>
                  </w:r>
                </w:p>
                <w:p>
                  <w:pPr>
                    <w:pStyle w:val="null3"/>
                    <w:jc w:val="both"/>
                  </w:pPr>
                  <w:r>
                    <w:rPr>
                      <w:rFonts w:ascii="仿宋_GB2312" w:hAnsi="仿宋_GB2312" w:cs="仿宋_GB2312" w:eastAsia="仿宋_GB2312"/>
                      <w:sz w:val="20"/>
                    </w:rPr>
                    <w:t>位置：现有观景平台处、秦岭隧道南侧大桥上方。</w:t>
                  </w:r>
                </w:p>
                <w:p>
                  <w:pPr>
                    <w:pStyle w:val="null3"/>
                    <w:jc w:val="both"/>
                  </w:pPr>
                  <w:r>
                    <w:rPr>
                      <w:rFonts w:ascii="仿宋_GB2312" w:hAnsi="仿宋_GB2312" w:cs="仿宋_GB2312" w:eastAsia="仿宋_GB2312"/>
                      <w:sz w:val="20"/>
                    </w:rPr>
                    <w:t>注：示意图见采购文件附件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野生动物足迹</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材质：板面采用深棕色防腐碳化原木、立柱；</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尺寸：牌体宽</w:t>
                  </w:r>
                  <w:r>
                    <w:rPr>
                      <w:rFonts w:ascii="仿宋_GB2312" w:hAnsi="仿宋_GB2312" w:cs="仿宋_GB2312" w:eastAsia="仿宋_GB2312"/>
                      <w:sz w:val="20"/>
                    </w:rPr>
                    <w:t>1600mm×高1800mm；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颜色：深棕色板面</w:t>
                  </w:r>
                  <w:r>
                    <w:rPr>
                      <w:rFonts w:ascii="仿宋_GB2312" w:hAnsi="仿宋_GB2312" w:cs="仿宋_GB2312" w:eastAsia="仿宋_GB2312"/>
                      <w:sz w:val="20"/>
                    </w:rPr>
                    <w:t>+仿木纹烤漆立柱、白色字体和图案，足迹凹陷浮雕原色；</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内容：浮雕展示野生动物等比例脚印，下方配对应物种名称与简短科普说明；</w:t>
                  </w:r>
                </w:p>
                <w:p>
                  <w:pPr>
                    <w:pStyle w:val="null3"/>
                    <w:jc w:val="both"/>
                  </w:pPr>
                  <w:r>
                    <w:rPr>
                      <w:rFonts w:ascii="仿宋_GB2312" w:hAnsi="仿宋_GB2312" w:cs="仿宋_GB2312" w:eastAsia="仿宋_GB2312"/>
                      <w:sz w:val="20"/>
                    </w:rPr>
                    <w:t>位置：秦岭隧道南侧大桥上方。</w:t>
                  </w:r>
                </w:p>
                <w:p>
                  <w:pPr>
                    <w:pStyle w:val="null3"/>
                    <w:jc w:val="both"/>
                  </w:pPr>
                  <w:r>
                    <w:rPr>
                      <w:rFonts w:ascii="仿宋_GB2312" w:hAnsi="仿宋_GB2312" w:cs="仿宋_GB2312" w:eastAsia="仿宋_GB2312"/>
                      <w:sz w:val="20"/>
                    </w:rPr>
                    <w:t>注：示意图见采购文件附件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77"/>
              <w:gridCol w:w="341"/>
              <w:gridCol w:w="140"/>
              <w:gridCol w:w="1482"/>
              <w:gridCol w:w="238"/>
              <w:gridCol w:w="158"/>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建设</w:t>
                  </w:r>
                </w:p>
                <w:p>
                  <w:pPr>
                    <w:pStyle w:val="null3"/>
                    <w:jc w:val="center"/>
                  </w:pPr>
                  <w:r>
                    <w:rPr>
                      <w:rFonts w:ascii="仿宋_GB2312" w:hAnsi="仿宋_GB2312" w:cs="仿宋_GB2312" w:eastAsia="仿宋_GB2312"/>
                      <w:sz w:val="20"/>
                      <w:b/>
                    </w:rPr>
                    <w:t>内容</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技术规格</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w:t>
                  </w:r>
                </w:p>
              </w:tc>
              <w:tc>
                <w:tcPr>
                  <w:tcW w:type="dxa" w:w="235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野生鸟类保护宣教平台搭建</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科普展示墙</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材质：实木边框</w:t>
                  </w:r>
                  <w:r>
                    <w:rPr>
                      <w:rFonts w:ascii="仿宋_GB2312" w:hAnsi="仿宋_GB2312" w:cs="仿宋_GB2312" w:eastAsia="仿宋_GB2312"/>
                      <w:sz w:val="20"/>
                    </w:rPr>
                    <w:t>+</w:t>
                  </w:r>
                  <w:r>
                    <w:rPr>
                      <w:rFonts w:ascii="仿宋_GB2312" w:hAnsi="仿宋_GB2312" w:cs="仿宋_GB2312" w:eastAsia="仿宋_GB2312"/>
                      <w:sz w:val="20"/>
                    </w:rPr>
                    <w:t>透明玻璃展示柜（内嵌灯带）；</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灯箱尺寸：宽</w:t>
                  </w:r>
                  <w:r>
                    <w:rPr>
                      <w:rFonts w:ascii="仿宋_GB2312" w:hAnsi="仿宋_GB2312" w:cs="仿宋_GB2312" w:eastAsia="仿宋_GB2312"/>
                      <w:sz w:val="20"/>
                    </w:rPr>
                    <w:t>3500mm</w:t>
                  </w:r>
                  <w:r>
                    <w:rPr>
                      <w:rFonts w:ascii="仿宋_GB2312" w:hAnsi="仿宋_GB2312" w:cs="仿宋_GB2312" w:eastAsia="仿宋_GB2312"/>
                      <w:sz w:val="20"/>
                    </w:rPr>
                    <w:t>×高</w:t>
                  </w:r>
                  <w:r>
                    <w:rPr>
                      <w:rFonts w:ascii="仿宋_GB2312" w:hAnsi="仿宋_GB2312" w:cs="仿宋_GB2312" w:eastAsia="仿宋_GB2312"/>
                      <w:sz w:val="20"/>
                    </w:rPr>
                    <w:t>2100mm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展台尺寸：长</w:t>
                  </w:r>
                  <w:r>
                    <w:rPr>
                      <w:rFonts w:ascii="仿宋_GB2312" w:hAnsi="仿宋_GB2312" w:cs="仿宋_GB2312" w:eastAsia="仿宋_GB2312"/>
                      <w:sz w:val="20"/>
                    </w:rPr>
                    <w:t>3500mm</w:t>
                  </w:r>
                  <w:r>
                    <w:rPr>
                      <w:rFonts w:ascii="仿宋_GB2312" w:hAnsi="仿宋_GB2312" w:cs="仿宋_GB2312" w:eastAsia="仿宋_GB2312"/>
                      <w:sz w:val="20"/>
                    </w:rPr>
                    <w:t>×深</w:t>
                  </w:r>
                  <w:r>
                    <w:rPr>
                      <w:rFonts w:ascii="仿宋_GB2312" w:hAnsi="仿宋_GB2312" w:cs="仿宋_GB2312" w:eastAsia="仿宋_GB2312"/>
                      <w:sz w:val="20"/>
                    </w:rPr>
                    <w:t>600mm</w:t>
                  </w:r>
                  <w:r>
                    <w:rPr>
                      <w:rFonts w:ascii="仿宋_GB2312" w:hAnsi="仿宋_GB2312" w:cs="仿宋_GB2312" w:eastAsia="仿宋_GB2312"/>
                      <w:sz w:val="20"/>
                    </w:rPr>
                    <w:t>×高</w:t>
                  </w:r>
                  <w:r>
                    <w:rPr>
                      <w:rFonts w:ascii="仿宋_GB2312" w:hAnsi="仿宋_GB2312" w:cs="仿宋_GB2312" w:eastAsia="仿宋_GB2312"/>
                      <w:sz w:val="20"/>
                    </w:rPr>
                    <w:t>800mm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颜色：边框原木色、白色展台；</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内容：上部展示牌绘制秦岭北麓周至段山地地貌、山林水系格局、秦岭候鸟迁徙通道与栖息分布区域，图中标注典型鸟类的活动区域；下部展台摆放自然保护区内典型鸟类相关的标本、局部解剖标本、鸟卵标本、鸟巢标本、鸟类野外实物遗存（羽毛、粪便、足迹模型、迁徙物证等）；</w:t>
                  </w:r>
                </w:p>
                <w:p>
                  <w:pPr>
                    <w:pStyle w:val="null3"/>
                    <w:jc w:val="both"/>
                  </w:pPr>
                  <w:r>
                    <w:rPr>
                      <w:rFonts w:ascii="仿宋_GB2312" w:hAnsi="仿宋_GB2312" w:cs="仿宋_GB2312" w:eastAsia="仿宋_GB2312"/>
                      <w:sz w:val="20"/>
                    </w:rPr>
                    <w:t>位置：自然教育实践站一层楼梯右侧第一间房屋内南面墙。</w:t>
                  </w:r>
                </w:p>
                <w:p>
                  <w:pPr>
                    <w:pStyle w:val="null3"/>
                    <w:jc w:val="both"/>
                  </w:pPr>
                  <w:r>
                    <w:rPr>
                      <w:rFonts w:ascii="仿宋_GB2312" w:hAnsi="仿宋_GB2312" w:cs="仿宋_GB2312" w:eastAsia="仿宋_GB2312"/>
                      <w:sz w:val="20"/>
                    </w:rPr>
                    <w:t>注：示意图见采购文件附件</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互动体验装置</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材质：冷轧钢板烤漆机身</w:t>
                  </w:r>
                  <w:r>
                    <w:rPr>
                      <w:rFonts w:ascii="仿宋_GB2312" w:hAnsi="仿宋_GB2312" w:cs="仿宋_GB2312" w:eastAsia="仿宋_GB2312"/>
                      <w:sz w:val="20"/>
                    </w:rPr>
                    <w:t>或同等工艺</w:t>
                  </w:r>
                  <w:r>
                    <w:rPr>
                      <w:rFonts w:ascii="仿宋_GB2312" w:hAnsi="仿宋_GB2312" w:cs="仿宋_GB2312" w:eastAsia="仿宋_GB2312"/>
                      <w:sz w:val="20"/>
                    </w:rPr>
                    <w:t>+液晶触控显示屏、内置主机电控配件；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尺寸：常规</w:t>
                  </w:r>
                  <w:r>
                    <w:rPr>
                      <w:rFonts w:ascii="仿宋_GB2312" w:hAnsi="仿宋_GB2312" w:cs="仿宋_GB2312" w:eastAsia="仿宋_GB2312"/>
                      <w:sz w:val="20"/>
                    </w:rPr>
                    <w:t>55英寸卧式触控屏，整机落地高度约1200mm；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颜色：整机外壳纯白色，屏幕黑色；</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组成：内置标准电脑主机（工控主板</w:t>
                  </w:r>
                  <w:r>
                    <w:rPr>
                      <w:rFonts w:ascii="仿宋_GB2312" w:hAnsi="仿宋_GB2312" w:cs="仿宋_GB2312" w:eastAsia="仿宋_GB2312"/>
                      <w:sz w:val="20"/>
                    </w:rPr>
                    <w:t>/CPU）、红外触摸屏、高清显示屏、音响等模块；</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▲显示参数：分辨率：1920×1080（全高清）；亮度：≥350 cd/㎡；对比度：≥1200:1；可视角度：水平/垂直178°，无死角可视；响应时间：≤8ms；</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▲触摸参数：触摸技术：红外多点触控；响应时间：≤5ms；触摸精度：±2mm；透光率：≥98%；触摸寿命：单点触摸≥6000万次；</w:t>
                  </w:r>
                </w:p>
                <w:p>
                  <w:pPr>
                    <w:pStyle w:val="null3"/>
                    <w:jc w:val="both"/>
                  </w:pPr>
                  <w:r>
                    <w:rPr>
                      <w:rFonts w:ascii="仿宋_GB2312" w:hAnsi="仿宋_GB2312" w:cs="仿宋_GB2312" w:eastAsia="仿宋_GB2312"/>
                      <w:sz w:val="20"/>
                    </w:rPr>
                    <w:t>系统配置：</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处理器：性能不低于</w:t>
                  </w:r>
                  <w:r>
                    <w:rPr>
                      <w:rFonts w:ascii="仿宋_GB2312" w:hAnsi="仿宋_GB2312" w:cs="仿宋_GB2312" w:eastAsia="仿宋_GB2312"/>
                      <w:sz w:val="20"/>
                    </w:rPr>
                    <w:t>Intel i5同级处理器或同等级x86架构处理器；</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运行内存：</w:t>
                  </w:r>
                  <w:r>
                    <w:rPr>
                      <w:rFonts w:ascii="仿宋_GB2312" w:hAnsi="仿宋_GB2312" w:cs="仿宋_GB2312" w:eastAsia="仿宋_GB2312"/>
                      <w:sz w:val="20"/>
                    </w:rPr>
                    <w:t>8GB及以上；内置存储：256GB及以上；</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操作系统：预装正版图形化操作系统（支持</w:t>
                  </w:r>
                  <w:r>
                    <w:rPr>
                      <w:rFonts w:ascii="仿宋_GB2312" w:hAnsi="仿宋_GB2312" w:cs="仿宋_GB2312" w:eastAsia="仿宋_GB2312"/>
                      <w:sz w:val="20"/>
                    </w:rPr>
                    <w:t>Windows及统信UOS、麒麟等国产操作系统之一，或投标人提供可稳定运行下述互动应用系统的等效环境）；</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网络功能：内置千兆网口</w:t>
                  </w:r>
                  <w:r>
                    <w:rPr>
                      <w:rFonts w:ascii="仿宋_GB2312" w:hAnsi="仿宋_GB2312" w:cs="仿宋_GB2312" w:eastAsia="仿宋_GB2312"/>
                      <w:sz w:val="20"/>
                    </w:rPr>
                    <w:t>+ Wi-Fi 模块；音频：内置2个及以上立体声扬声器；接口：USB×4、RJ45×1、HDMI×1、音频输入/输出接口；</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互动应用系统：该互动应用系统基于标准桌面环境开发，采用触控操作，包含五大功能模块。</w:t>
                  </w:r>
                  <w:r>
                    <w:rPr>
                      <w:rFonts w:ascii="仿宋_GB2312" w:hAnsi="仿宋_GB2312" w:cs="仿宋_GB2312" w:eastAsia="仿宋_GB2312"/>
                      <w:sz w:val="20"/>
                    </w:rPr>
                    <w:t>1）首页总览模块：实现系统导航引导、功能入口聚合与资讯播报，为用户提供统一的操作入口与信息推送服务；2）鸟类百科查询模块：通过物种分类检索、详情展示、听声辨鸟互动及保护等级说明功能，实现鸟类信息的高效查询与科普互动；3）观鸟线路介绍模块：依托路线地图交互、沿线点位介绍、鸟类分布标注与出行提示讲解，实现观鸟路线的可视化指引与场景化服务；4）生态科普展示模块：通过保护区概况介绍、栖息环境科普、保护知识宣传及趣味问答功能，实现生态保护知识的沉浸式传播；5）系统辅助管理模块：提供音量亮度调节、界面/屏保设置、网络数据同步与资源缓存管理功能，保障系统稳定运行与用户个性化使用体验。</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内容：周至保护区鸟类百科、线路介绍、生态科普触屏查询；</w:t>
                  </w:r>
                </w:p>
                <w:p>
                  <w:pPr>
                    <w:pStyle w:val="null3"/>
                    <w:jc w:val="both"/>
                  </w:pPr>
                  <w:r>
                    <w:rPr>
                      <w:rFonts w:ascii="仿宋_GB2312" w:hAnsi="仿宋_GB2312" w:cs="仿宋_GB2312" w:eastAsia="仿宋_GB2312"/>
                      <w:sz w:val="20"/>
                    </w:rPr>
                    <w:t>位置：自然教育实践站室内；</w:t>
                  </w:r>
                </w:p>
                <w:p>
                  <w:pPr>
                    <w:pStyle w:val="null3"/>
                    <w:jc w:val="both"/>
                  </w:pPr>
                  <w:r>
                    <w:rPr>
                      <w:rFonts w:ascii="仿宋_GB2312" w:hAnsi="仿宋_GB2312" w:cs="仿宋_GB2312" w:eastAsia="仿宋_GB2312"/>
                      <w:sz w:val="20"/>
                    </w:rPr>
                    <w:t>功能实现：基于标准桌面触控系统环境的互动系统，搭载于互动体验装置终端上，通过五大核心模块实现沉浸式生态观鸟科普体验：首页提供导航与资讯服务，鸟类百科模块支持物种检索、听声辨鸟等互动查询，观鸟线路模块实现地图交互与点位指引，生态科普模块展示保护区概况并支持趣味问答，系统管理模块则提供设备参数调节、数据同步等基础运维功能，为用户提供一站式观鸟科普互动服务。</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隐蔽式音响系统</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材质：玻璃钢</w:t>
                  </w:r>
                  <w:r>
                    <w:rPr>
                      <w:rFonts w:ascii="仿宋_GB2312" w:hAnsi="仿宋_GB2312" w:cs="仿宋_GB2312" w:eastAsia="仿宋_GB2312"/>
                      <w:sz w:val="20"/>
                    </w:rPr>
                    <w:t>/环保树脂复合材质，仿木纹纹理；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组成：内置喇叭、太阳能板、锂电池、控制器、无线调频发射主机、天线、避雷器、馈线等电气配件；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尺寸：单只仿生树桩常规高</w:t>
                  </w:r>
                  <w:r>
                    <w:rPr>
                      <w:rFonts w:ascii="仿宋_GB2312" w:hAnsi="仿宋_GB2312" w:cs="仿宋_GB2312" w:eastAsia="仿宋_GB2312"/>
                      <w:sz w:val="20"/>
                    </w:rPr>
                    <w:t>350~450mm，底部直径400~500mm；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颜色：原木棕褐色，仿天然树皮纹理配色；</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▲声学性能参数：额定功率</w:t>
                  </w:r>
                  <w:r>
                    <w:rPr>
                      <w:rFonts w:ascii="仿宋_GB2312" w:hAnsi="仿宋_GB2312" w:cs="仿宋_GB2312" w:eastAsia="仿宋_GB2312"/>
                      <w:sz w:val="20"/>
                    </w:rPr>
                    <w:t>20W~30W、最大功率30W~60W、额定输入电压70V/100V、频率响应120Hz~15kHz灵敏度≥90dB、喇叭单元5.25~8 英寸防水同轴单元；</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▲防护参数：防护等级：IP66/IP67防水防尘，可适应户外雨淋、潮湿环境；抗老化性能：耐紫外线、防褪色、防开裂，使用寿命≥8 年；工作温度：-20℃~+60℃；</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供电方式：定压广播系统供电，支持太阳能</w:t>
                  </w:r>
                  <w:r>
                    <w:rPr>
                      <w:rFonts w:ascii="仿宋_GB2312" w:hAnsi="仿宋_GB2312" w:cs="仿宋_GB2312" w:eastAsia="仿宋_GB2312"/>
                      <w:sz w:val="20"/>
                    </w:rPr>
                    <w:t>/ 市电双供电可选；</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数量：</w:t>
                  </w:r>
                  <w:r>
                    <w:rPr>
                      <w:rFonts w:ascii="仿宋_GB2312" w:hAnsi="仿宋_GB2312" w:cs="仿宋_GB2312" w:eastAsia="仿宋_GB2312"/>
                      <w:sz w:val="20"/>
                    </w:rPr>
                    <w:t>2套（每套含10个无线音柱）；</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内容：科普语音播报、步道背景音乐、森林防火安全提示、野生动植物知识介绍；</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音频数据来源：系统所有播放音频资源统一来源于陕西周至国家级自然保护区广播音频资源数据库，素材全部为标准化录制音频，包含：园区步道背景音乐、秦岭野生动植物科普介绍、鸟类保护知识、森林防火安全提示、生态保护宣传语音等专属音频素材；</w:t>
                  </w:r>
                </w:p>
                <w:p>
                  <w:pPr>
                    <w:pStyle w:val="null3"/>
                    <w:jc w:val="both"/>
                  </w:pPr>
                  <w:r>
                    <w:rPr>
                      <w:rFonts w:ascii="仿宋_GB2312" w:hAnsi="仿宋_GB2312" w:cs="仿宋_GB2312" w:eastAsia="仿宋_GB2312"/>
                      <w:sz w:val="20"/>
                    </w:rPr>
                    <w:t>音频素材导入方式：</w:t>
                  </w:r>
                  <w:r>
                    <w:rPr>
                      <w:rFonts w:ascii="仿宋_GB2312" w:hAnsi="仿宋_GB2312" w:cs="仿宋_GB2312" w:eastAsia="仿宋_GB2312"/>
                      <w:sz w:val="20"/>
                    </w:rPr>
                    <w:t>1）本地存储介质导入：将整理好的音频文件存入U盘/TF卡，插入无线调频主机对应接口，主机读取并本地存储音频，完成素材录入与更新，支持单机离线增删曲目。2）线路直传导入：通过音频线将电脑、播放器等音源设备与主机线路输入口连接，直接播放外接音源内容；</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系统控制与播放管理方式：</w:t>
                  </w:r>
                  <w:r>
                    <w:rPr>
                      <w:rFonts w:ascii="仿宋_GB2312" w:hAnsi="仿宋_GB2312" w:cs="仿宋_GB2312" w:eastAsia="仿宋_GB2312"/>
                      <w:sz w:val="20"/>
                    </w:rPr>
                    <w:t>1）基础播放控制：通过主机面板按键、显示屏，实现曲目切换、播放/暂停、全局音量调节，所有终端同步执行操作。</w:t>
                  </w:r>
                </w:p>
                <w:p>
                  <w:pPr>
                    <w:pStyle w:val="null3"/>
                    <w:jc w:val="both"/>
                  </w:pPr>
                  <w:r>
                    <w:rPr>
                      <w:rFonts w:ascii="仿宋_GB2312" w:hAnsi="仿宋_GB2312" w:cs="仿宋_GB2312" w:eastAsia="仿宋_GB2312"/>
                      <w:sz w:val="20"/>
                    </w:rPr>
                    <w:t>2）定时循环播放：利用主机内置定时程序，设置多时段自动播放任务，到点自动启动播报，实现无人值守运行。</w:t>
                  </w:r>
                </w:p>
                <w:p>
                  <w:pPr>
                    <w:pStyle w:val="null3"/>
                    <w:jc w:val="both"/>
                  </w:pPr>
                  <w:r>
                    <w:rPr>
                      <w:rFonts w:ascii="仿宋_GB2312" w:hAnsi="仿宋_GB2312" w:cs="仿宋_GB2312" w:eastAsia="仿宋_GB2312"/>
                      <w:sz w:val="20"/>
                    </w:rPr>
                    <w:t>3）无线调频传输：主机将音频与控制指令调制成无线调频信号对外发射，户外仿生音响内置调频接收模块，自动配对接收信号并解码播放。</w:t>
                  </w:r>
                </w:p>
                <w:p>
                  <w:pPr>
                    <w:pStyle w:val="null3"/>
                    <w:jc w:val="both"/>
                  </w:pPr>
                  <w:r>
                    <w:rPr>
                      <w:rFonts w:ascii="仿宋_GB2312" w:hAnsi="仿宋_GB2312" w:cs="仿宋_GB2312" w:eastAsia="仿宋_GB2312"/>
                      <w:sz w:val="20"/>
                    </w:rPr>
                    <w:t>4）临时插播喊话：主机外接麦克风，可随时插入临时通知、应急提示，优先覆盖原有播放内容。</w:t>
                  </w:r>
                </w:p>
                <w:p>
                  <w:pPr>
                    <w:pStyle w:val="null3"/>
                    <w:jc w:val="both"/>
                  </w:pPr>
                  <w:r>
                    <w:rPr>
                      <w:rFonts w:ascii="仿宋_GB2312" w:hAnsi="仿宋_GB2312" w:cs="仿宋_GB2312" w:eastAsia="仿宋_GB2312"/>
                      <w:sz w:val="20"/>
                    </w:rPr>
                    <w:t>5）离线运行保障：音频素材、播放规则均保存在主机本地，断网、无外接电脑时，系统仍可按照预设方案稳定循环播放。</w:t>
                  </w:r>
                </w:p>
                <w:p>
                  <w:pPr>
                    <w:pStyle w:val="null3"/>
                    <w:jc w:val="both"/>
                  </w:pPr>
                  <w:r>
                    <w:rPr>
                      <w:rFonts w:ascii="仿宋_GB2312" w:hAnsi="仿宋_GB2312" w:cs="仿宋_GB2312" w:eastAsia="仿宋_GB2312"/>
                      <w:sz w:val="20"/>
                    </w:rPr>
                    <w:t>6）分组管控：主机支持调频分组对频，可将音响划分为不同组别，实现分区播放、差异化播报。</w:t>
                  </w:r>
                </w:p>
                <w:p>
                  <w:pPr>
                    <w:pStyle w:val="null3"/>
                    <w:jc w:val="both"/>
                  </w:pPr>
                  <w:r>
                    <w:rPr>
                      <w:rFonts w:ascii="仿宋_GB2312" w:hAnsi="仿宋_GB2312" w:cs="仿宋_GB2312" w:eastAsia="仿宋_GB2312"/>
                      <w:sz w:val="20"/>
                    </w:rPr>
                    <w:t>位置：自然教育实践站珍稀树木园。</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功能实现：音源（电脑</w:t>
                  </w:r>
                  <w:r>
                    <w:rPr>
                      <w:rFonts w:ascii="仿宋_GB2312" w:hAnsi="仿宋_GB2312" w:cs="仿宋_GB2312" w:eastAsia="仿宋_GB2312"/>
                      <w:sz w:val="20"/>
                    </w:rPr>
                    <w:t>/ U 盘 / TF 卡）输入至无线调频主机，主机完成音频读取、信号调制发射、本地控制、定时/应急播放等功能，输出无线调频信号；仿生树桩音响终端接收信号并解码，经功放放大后播放音频，同时支持太阳能 / 市电双供电、户外防护与声学输出，可实现户外场景下的稳定广播覆盖。</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声音互动面板</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材质：不锈钢仿木纹板材，内嵌电控发声模块、物理按键组件；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尺寸：牌面长约</w:t>
                  </w:r>
                  <w:r>
                    <w:rPr>
                      <w:rFonts w:ascii="仿宋_GB2312" w:hAnsi="仿宋_GB2312" w:cs="仿宋_GB2312" w:eastAsia="仿宋_GB2312"/>
                      <w:sz w:val="20"/>
                    </w:rPr>
                    <w:t>500mm、宽280mm，立杆总高1100–1200mm；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颜色：原木棕褐色，仿天然树皮纹理配色；</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存储介质：内置</w:t>
                  </w:r>
                  <w:r>
                    <w:rPr>
                      <w:rFonts w:ascii="仿宋_GB2312" w:hAnsi="仿宋_GB2312" w:cs="仿宋_GB2312" w:eastAsia="仿宋_GB2312"/>
                      <w:sz w:val="20"/>
                    </w:rPr>
                    <w:t>Flash / 支持 SD 卡扩展；</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音频质量：频响</w:t>
                  </w:r>
                  <w:r>
                    <w:rPr>
                      <w:rFonts w:ascii="仿宋_GB2312" w:hAnsi="仿宋_GB2312" w:cs="仿宋_GB2312" w:eastAsia="仿宋_GB2312"/>
                      <w:sz w:val="20"/>
                    </w:rPr>
                    <w:t>20Hz~20kHz，信噪比≥85dB；</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触发方式：物理按键触发；</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低功耗设计：待机电流</w:t>
                  </w:r>
                  <w:r>
                    <w:rPr>
                      <w:rFonts w:ascii="仿宋_GB2312" w:hAnsi="仿宋_GB2312" w:cs="仿宋_GB2312" w:eastAsia="仿宋_GB2312"/>
                      <w:sz w:val="20"/>
                    </w:rPr>
                    <w:t>≤10mA，播放电流≤200mA；</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内容：点击聆听朱鹮等鸟类原声科普音频；</w:t>
                  </w:r>
                </w:p>
                <w:p>
                  <w:pPr>
                    <w:pStyle w:val="null3"/>
                    <w:jc w:val="both"/>
                  </w:pPr>
                  <w:r>
                    <w:rPr>
                      <w:rFonts w:ascii="仿宋_GB2312" w:hAnsi="仿宋_GB2312" w:cs="仿宋_GB2312" w:eastAsia="仿宋_GB2312"/>
                      <w:sz w:val="20"/>
                    </w:rPr>
                    <w:t>位置：自然教育实践站室内。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喷绘灯箱</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材质：型材边框、内置</w:t>
                  </w:r>
                  <w:r>
                    <w:rPr>
                      <w:rFonts w:ascii="仿宋_GB2312" w:hAnsi="仿宋_GB2312" w:cs="仿宋_GB2312" w:eastAsia="仿宋_GB2312"/>
                      <w:sz w:val="20"/>
                    </w:rPr>
                    <w:t>LED光源+配套电器、户外喷绘布画面；</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尺寸：长</w:t>
                  </w:r>
                  <w:r>
                    <w:rPr>
                      <w:rFonts w:ascii="仿宋_GB2312" w:hAnsi="仿宋_GB2312" w:cs="仿宋_GB2312" w:eastAsia="仿宋_GB2312"/>
                      <w:sz w:val="20"/>
                    </w:rPr>
                    <w:t>3500mm×高2100mm；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颜色：边框灰绿色；</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内容：标题</w:t>
                  </w:r>
                  <w:r>
                    <w:rPr>
                      <w:rFonts w:ascii="仿宋_GB2312" w:hAnsi="仿宋_GB2312" w:cs="仿宋_GB2312" w:eastAsia="仿宋_GB2312"/>
                      <w:sz w:val="20"/>
                    </w:rPr>
                    <w:t>“鸟类展示墙”，分区排布保护区原生鸟类实拍科普图鉴；</w:t>
                  </w:r>
                </w:p>
                <w:p>
                  <w:pPr>
                    <w:pStyle w:val="null3"/>
                    <w:jc w:val="both"/>
                  </w:pPr>
                  <w:r>
                    <w:rPr>
                      <w:rFonts w:ascii="仿宋_GB2312" w:hAnsi="仿宋_GB2312" w:cs="仿宋_GB2312" w:eastAsia="仿宋_GB2312"/>
                      <w:sz w:val="20"/>
                    </w:rPr>
                    <w:t>位置：自然教育实践站内走廊。</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标识标牌</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材质：实木边框</w:t>
                  </w:r>
                  <w:r>
                    <w:rPr>
                      <w:rFonts w:ascii="仿宋_GB2312" w:hAnsi="仿宋_GB2312" w:cs="仿宋_GB2312" w:eastAsia="仿宋_GB2312"/>
                      <w:sz w:val="20"/>
                    </w:rPr>
                    <w:t>+高清UV打印+亚克力背板；</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墙面尺寸：宽</w:t>
                  </w:r>
                  <w:r>
                    <w:rPr>
                      <w:rFonts w:ascii="仿宋_GB2312" w:hAnsi="仿宋_GB2312" w:cs="仿宋_GB2312" w:eastAsia="仿宋_GB2312"/>
                      <w:sz w:val="20"/>
                    </w:rPr>
                    <w:t>4400mm×高3000mm；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标牌尺寸：宽（</w:t>
                  </w:r>
                  <w:r>
                    <w:rPr>
                      <w:rFonts w:ascii="仿宋_GB2312" w:hAnsi="仿宋_GB2312" w:cs="仿宋_GB2312" w:eastAsia="仿宋_GB2312"/>
                      <w:sz w:val="20"/>
                    </w:rPr>
                    <w:t>1200-1400mm）×高（700-900-mm）×厚40mm；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颜色：原木色；</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内容：周至自然保护区鸟类科普，标牌内包含高清实拍质感鸟类主体图片、对应鸟类文字科普介绍；（推荐鸟类：红腹锦鸡、血雉、红腹角雉、黑鹳、金雕、长尾朱雀、画眉、丘鹬、金胸雀鹛、勺鸡、黄喉鹀等）；</w:t>
                  </w:r>
                </w:p>
                <w:p>
                  <w:pPr>
                    <w:pStyle w:val="null3"/>
                    <w:jc w:val="both"/>
                  </w:pPr>
                  <w:r>
                    <w:rPr>
                      <w:rFonts w:ascii="仿宋_GB2312" w:hAnsi="仿宋_GB2312" w:cs="仿宋_GB2312" w:eastAsia="仿宋_GB2312"/>
                      <w:sz w:val="20"/>
                    </w:rPr>
                    <w:t>位置：自然教育实践站一层楼梯右侧第一间房屋内东西两面墙。</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高仿真鸟类模型</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材质：环保树脂</w:t>
                  </w:r>
                  <w:r>
                    <w:rPr>
                      <w:rFonts w:ascii="仿宋_GB2312" w:hAnsi="仿宋_GB2312" w:cs="仿宋_GB2312" w:eastAsia="仿宋_GB2312"/>
                      <w:sz w:val="20"/>
                    </w:rPr>
                    <w:t>+玻璃钢精工塑形，皮毛/羽毛细节仿真上色工艺；</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尺寸：等比例还原原生鸟类实体大小，单只参照原生物种体长</w:t>
                  </w:r>
                  <w:r>
                    <w:rPr>
                      <w:rFonts w:ascii="仿宋_GB2312" w:hAnsi="仿宋_GB2312" w:cs="仿宋_GB2312" w:eastAsia="仿宋_GB2312"/>
                      <w:sz w:val="20"/>
                    </w:rPr>
                    <w:t>300mm~1000mm不等；</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颜色：复刻原生羽色，依照自然体色写实配色；</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内容：周至保护区旗舰野生鸟类（红腹锦鸡、血雉，勺鸡、红腹角雉、金雕、秃鹫、黑鹳、黄胸鹀）</w:t>
                  </w:r>
                  <w:r>
                    <w:rPr>
                      <w:rFonts w:ascii="仿宋_GB2312" w:hAnsi="仿宋_GB2312" w:cs="仿宋_GB2312" w:eastAsia="仿宋_GB2312"/>
                      <w:sz w:val="20"/>
                    </w:rPr>
                    <w:t>1:1 仿真标本模型，用于科普教学、物种外形直观展示；</w:t>
                  </w:r>
                </w:p>
                <w:p>
                  <w:pPr>
                    <w:pStyle w:val="null3"/>
                    <w:jc w:val="both"/>
                  </w:pPr>
                  <w:r>
                    <w:rPr>
                      <w:rFonts w:ascii="仿宋_GB2312" w:hAnsi="仿宋_GB2312" w:cs="仿宋_GB2312" w:eastAsia="仿宋_GB2312"/>
                      <w:sz w:val="20"/>
                    </w:rPr>
                    <w:t>位置：自然教育实践站室内。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生境模拟场景</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材质：超白钢化玻璃箱体，底层生态泥土、仿真山石、真苔藓、仿真林木、微型水景循环系统、配套小型生态造景配件；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尺寸：箱体常规长</w:t>
                  </w:r>
                  <w:r>
                    <w:rPr>
                      <w:rFonts w:ascii="仿宋_GB2312" w:hAnsi="仿宋_GB2312" w:cs="仿宋_GB2312" w:eastAsia="仿宋_GB2312"/>
                      <w:sz w:val="20"/>
                    </w:rPr>
                    <w:t>2000mm×宽600mm×高800mm；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颜色：玻璃透明，植被绿黄色、山石灰褐、溪流浅白，还原秦岭山林原生自然配色；</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内容：微型复刻周至保护区山林溪流原生生态环境，模拟林下植被、山石溪流、小型栖息环境，用于动植物栖息科普教学展示；</w:t>
                  </w:r>
                </w:p>
                <w:p>
                  <w:pPr>
                    <w:pStyle w:val="null3"/>
                    <w:jc w:val="both"/>
                  </w:pPr>
                  <w:r>
                    <w:rPr>
                      <w:rFonts w:ascii="仿宋_GB2312" w:hAnsi="仿宋_GB2312" w:cs="仿宋_GB2312" w:eastAsia="仿宋_GB2312"/>
                      <w:sz w:val="20"/>
                    </w:rPr>
                    <w:t>位置：自然教育实践站室内。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77"/>
              <w:gridCol w:w="341"/>
              <w:gridCol w:w="140"/>
              <w:gridCol w:w="1482"/>
              <w:gridCol w:w="238"/>
              <w:gridCol w:w="158"/>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建设</w:t>
                  </w:r>
                </w:p>
                <w:p>
                  <w:pPr>
                    <w:pStyle w:val="null3"/>
                    <w:jc w:val="center"/>
                  </w:pPr>
                  <w:r>
                    <w:rPr>
                      <w:rFonts w:ascii="仿宋_GB2312" w:hAnsi="仿宋_GB2312" w:cs="仿宋_GB2312" w:eastAsia="仿宋_GB2312"/>
                      <w:sz w:val="20"/>
                      <w:b/>
                    </w:rPr>
                    <w:t>内容</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技术规格</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w:t>
                  </w:r>
                </w:p>
              </w:tc>
              <w:tc>
                <w:tcPr>
                  <w:tcW w:type="dxa" w:w="235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保护宣传标识标牌</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保护宣传标识标牌</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材质：浅灰花岗岩收边</w:t>
                  </w:r>
                  <w:r>
                    <w:rPr>
                      <w:rFonts w:ascii="仿宋_GB2312" w:hAnsi="仿宋_GB2312" w:cs="仿宋_GB2312" w:eastAsia="仿宋_GB2312"/>
                      <w:sz w:val="20"/>
                    </w:rPr>
                    <w:t>/碳化仿木面；底色采用深棕木纹底 + 米白 / 浅灰文字；科普实景图/动物配图UV打印；</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尺寸：长</w:t>
                  </w:r>
                  <w:r>
                    <w:rPr>
                      <w:rFonts w:ascii="仿宋_GB2312" w:hAnsi="仿宋_GB2312" w:cs="仿宋_GB2312" w:eastAsia="仿宋_GB2312"/>
                      <w:sz w:val="20"/>
                    </w:rPr>
                    <w:t>1800mm×高1900mm；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颜色：牌体底色采用深棕木纹底</w:t>
                  </w:r>
                  <w:r>
                    <w:rPr>
                      <w:rFonts w:ascii="仿宋_GB2312" w:hAnsi="仿宋_GB2312" w:cs="仿宋_GB2312" w:eastAsia="仿宋_GB2312"/>
                      <w:sz w:val="20"/>
                    </w:rPr>
                    <w:t>+白色文字和图案；</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内容：生态保护、动植物保护宣传；</w:t>
                  </w:r>
                </w:p>
                <w:p>
                  <w:pPr>
                    <w:pStyle w:val="null3"/>
                    <w:jc w:val="both"/>
                  </w:pPr>
                  <w:r>
                    <w:rPr>
                      <w:rFonts w:ascii="仿宋_GB2312" w:hAnsi="仿宋_GB2312" w:cs="仿宋_GB2312" w:eastAsia="仿宋_GB2312"/>
                      <w:sz w:val="20"/>
                    </w:rPr>
                    <w:t>位置：安家歧保护站（齐心村）、老县城保护站（塔尔河、王超家桥头、杨家沟）、板房子保护站（后沟口、正南沟口、小溪沟口、毛房沟口、七里峡、庙沟口、铁厂沟口、毛房沟口、云龙沟道班、</w:t>
                  </w:r>
                  <w:r>
                    <w:rPr>
                      <w:rFonts w:ascii="仿宋_GB2312" w:hAnsi="仿宋_GB2312" w:cs="仿宋_GB2312" w:eastAsia="仿宋_GB2312"/>
                      <w:sz w:val="20"/>
                    </w:rPr>
                    <w:t>84云龙沟口）、小王涧保护站（上河口、十亩地村口、东涧沟口）</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检查站出入宣传牌</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材质：铝合金</w:t>
                  </w:r>
                  <w:r>
                    <w:rPr>
                      <w:rFonts w:ascii="仿宋_GB2312" w:hAnsi="仿宋_GB2312" w:cs="仿宋_GB2312" w:eastAsia="仿宋_GB2312"/>
                      <w:sz w:val="20"/>
                    </w:rPr>
                    <w:t>A字型折叠支架，板面PVC雪弗板+高清喷绘；</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尺寸：常规板面</w:t>
                  </w:r>
                  <w:r>
                    <w:rPr>
                      <w:rFonts w:ascii="仿宋_GB2312" w:hAnsi="仿宋_GB2312" w:cs="仿宋_GB2312" w:eastAsia="仿宋_GB2312"/>
                      <w:sz w:val="20"/>
                    </w:rPr>
                    <w:t>600mm×900mm，整架立式高度 1200mm；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颜色：蓝白配色，蓝色标题栏</w:t>
                  </w:r>
                  <w:r>
                    <w:rPr>
                      <w:rFonts w:ascii="仿宋_GB2312" w:hAnsi="仿宋_GB2312" w:cs="仿宋_GB2312" w:eastAsia="仿宋_GB2312"/>
                      <w:sz w:val="20"/>
                    </w:rPr>
                    <w:t>+白色底板；</w:t>
                  </w:r>
                </w:p>
                <w:p>
                  <w:pPr>
                    <w:pStyle w:val="null3"/>
                    <w:jc w:val="both"/>
                  </w:pPr>
                  <w:r>
                    <w:rPr>
                      <w:rFonts w:ascii="仿宋_GB2312" w:hAnsi="仿宋_GB2312" w:cs="仿宋_GB2312" w:eastAsia="仿宋_GB2312"/>
                      <w:sz w:val="20"/>
                    </w:rPr>
                    <w:t>内容：标题《检查站出入须知》，分「进入流程」「离开登记」两大板块，底部标注</w:t>
                  </w:r>
                  <w:r>
                    <w:rPr>
                      <w:rFonts w:ascii="仿宋_GB2312" w:hAnsi="仿宋_GB2312" w:cs="仿宋_GB2312" w:eastAsia="仿宋_GB2312"/>
                      <w:sz w:val="20"/>
                    </w:rPr>
                    <w:t>“请配合检查，谢谢合作”，写明进出保护区查验登记相关管理制度；</w:t>
                  </w:r>
                </w:p>
                <w:p>
                  <w:pPr>
                    <w:pStyle w:val="null3"/>
                    <w:jc w:val="both"/>
                  </w:pPr>
                  <w:r>
                    <w:rPr>
                      <w:rFonts w:ascii="仿宋_GB2312" w:hAnsi="仿宋_GB2312" w:cs="仿宋_GB2312" w:eastAsia="仿宋_GB2312"/>
                      <w:sz w:val="20"/>
                    </w:rPr>
                    <w:t>位置：虎豹河检查站、黄草坡检查站、板房子高潮村检查站、老县城易家坪检查站；</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标的名称：保护监测设施设备购置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保护区前期已布设部分红外相机,但保护区山高林密、栖息地分散,现有设备布设密度偏低,珍稀鸟类重点栖息与迁徙廊道仍存在大量监测盲区,且由于部分红外相机部署时间较早,长期工作在野外环境条件下,存在设备老化、损坏、遗失的现象,故亟需添置更新;同时保护区一线人员野外巡护配套装备配置不够完善,部分偏远林区通信条件受限,野外数据采集与实时传输保障条件尚有欠缺,现有装备配置与全域常态化精细化监测管护需求存在一定差距,需逐步补充完善相关作业装备,进一步提升野外巡护作业保障能力。</w:t>
            </w:r>
          </w:p>
          <w:p>
            <w:pPr>
              <w:pStyle w:val="null3"/>
            </w:pPr>
            <w:r>
              <w:rPr>
                <w:rFonts w:ascii="仿宋_GB2312" w:hAnsi="仿宋_GB2312" w:cs="仿宋_GB2312" w:eastAsia="仿宋_GB2312"/>
                <w:sz w:val="21"/>
              </w:rPr>
              <w:t>本项目通过围绕陕西周至国家级自然保护区野生动物保护核心任务,通过引进智能化监测设备、构建立体化监测体系、升级宣教设施、强化巡护装备,构建“地面人工巡护+红外影像+声学监测”三维监测体系,全面提升保护区的科学研究、资源管护与公众教育能力,建成一个技术先进、运行高效、宣教有力的野生动物监测与保护示范体系,为实现保护区的精准化、智能化管理和可持续发展奠定坚实基础。</w:t>
            </w:r>
          </w:p>
          <w:p>
            <w:pPr>
              <w:pStyle w:val="null3"/>
            </w:pPr>
            <w:r>
              <w:rPr>
                <w:rFonts w:ascii="仿宋_GB2312" w:hAnsi="仿宋_GB2312" w:cs="仿宋_GB2312" w:eastAsia="仿宋_GB2312"/>
                <w:sz w:val="21"/>
              </w:rPr>
              <w:t>为保障救援联络、指令传达,实现监测设备卫星无线数传、巡护人员野外互联互通、突发事件应急保底通信,配备多功能热点终端,提升保护区管护数字化水平。同时，为完善野外工作保障,为巡护监测人员配备强光手电、移动电源、野外巡护装备等必要装备,显著提升野外工作的安全性与效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二、采购内容</w:t>
            </w:r>
          </w:p>
          <w:p>
            <w:pPr>
              <w:pStyle w:val="null3"/>
            </w:pPr>
            <w:r>
              <w:rPr>
                <w:rFonts w:ascii="仿宋_GB2312" w:hAnsi="仿宋_GB2312" w:cs="仿宋_GB2312" w:eastAsia="仿宋_GB2312"/>
                <w:sz w:val="21"/>
              </w:rPr>
              <w:t xml:space="preserve">本项目建设内容如下：    </w:t>
            </w:r>
          </w:p>
          <w:p>
            <w:pPr>
              <w:pStyle w:val="null3"/>
            </w:pPr>
            <w:r>
              <w:rPr>
                <w:rFonts w:ascii="仿宋_GB2312" w:hAnsi="仿宋_GB2312" w:cs="仿宋_GB2312" w:eastAsia="仿宋_GB2312"/>
                <w:sz w:val="21"/>
              </w:rPr>
              <w:t>保护监测设施设备购置：1、被动声学监测设备10台；2、红外相机100台；3、多功能卫星热点终端3台；4、监测强光手电24个；5、野外监测移动电源5套。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三、技术要求(包括对产品的认证、检验报告等)</w:t>
            </w:r>
          </w:p>
          <w:p>
            <w:pPr>
              <w:pStyle w:val="null3"/>
            </w:pPr>
            <w:r>
              <w:rPr>
                <w:rFonts w:ascii="仿宋_GB2312" w:hAnsi="仿宋_GB2312" w:cs="仿宋_GB2312" w:eastAsia="仿宋_GB2312"/>
                <w:sz w:val="21"/>
                <w:b/>
              </w:rPr>
              <w:t>核心产品：红外相机</w:t>
            </w:r>
          </w:p>
          <w:tbl>
            <w:tblPr>
              <w:tblInd w:type="dxa" w:w="135"/>
              <w:tblBorders>
                <w:top w:val="none" w:color="000000" w:sz="4"/>
                <w:left w:val="none" w:color="000000" w:sz="4"/>
                <w:bottom w:val="none" w:color="000000" w:sz="4"/>
                <w:right w:val="none" w:color="000000" w:sz="4"/>
                <w:insideH w:val="none"/>
                <w:insideV w:val="none"/>
              </w:tblBorders>
            </w:tblPr>
            <w:tblGrid>
              <w:gridCol w:w="177"/>
              <w:gridCol w:w="341"/>
              <w:gridCol w:w="140"/>
              <w:gridCol w:w="1482"/>
              <w:gridCol w:w="238"/>
              <w:gridCol w:w="158"/>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建设</w:t>
                  </w:r>
                </w:p>
                <w:p>
                  <w:pPr>
                    <w:pStyle w:val="null3"/>
                    <w:jc w:val="center"/>
                  </w:pPr>
                  <w:r>
                    <w:rPr>
                      <w:rFonts w:ascii="仿宋_GB2312" w:hAnsi="仿宋_GB2312" w:cs="仿宋_GB2312" w:eastAsia="仿宋_GB2312"/>
                      <w:sz w:val="20"/>
                      <w:b/>
                    </w:rPr>
                    <w:t>内容</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技术规格</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235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保护监测设施设备购置</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被动声学监测设备</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1.拾音距离：野外开阔环境有效稳定拾音覆盖距离≥100米；频率响应：20Hz～20kHz；传声器灵敏度：≥-26dB（0dB=1V/pa@1kHz）；采样率：支持8K、24K、32K、48K、96K等多档可调；声音通道：≥</w:t>
                  </w:r>
                  <w:r>
                    <w:rPr>
                      <w:rFonts w:ascii="仿宋_GB2312" w:hAnsi="仿宋_GB2312" w:cs="仿宋_GB2312" w:eastAsia="仿宋_GB2312"/>
                      <w:sz w:val="20"/>
                    </w:rPr>
                    <w:t>2通道</w:t>
                  </w:r>
                </w:p>
                <w:p>
                  <w:pPr>
                    <w:pStyle w:val="null3"/>
                    <w:jc w:val="both"/>
                  </w:pPr>
                  <w:r>
                    <w:rPr>
                      <w:rFonts w:ascii="仿宋_GB2312" w:hAnsi="仿宋_GB2312" w:cs="仿宋_GB2312" w:eastAsia="仿宋_GB2312"/>
                      <w:sz w:val="20"/>
                    </w:rPr>
                    <w:t>2.信噪比：≥68dB（5米距离）；整机（含传声器、主机舱、接口舱）防护等级≥IP67，各部件不低于该等级。；工作温度：-20℃～+50℃；供电方式：锂电池+太阳能板供电；数据回传：支持4G全网通；数据存储：TF/SD卡存储，最大支持512G；输出格式：WAV格式；</w:t>
                  </w:r>
                </w:p>
                <w:p>
                  <w:pPr>
                    <w:pStyle w:val="null3"/>
                    <w:jc w:val="both"/>
                  </w:pPr>
                  <w:r>
                    <w:rPr>
                      <w:rFonts w:ascii="仿宋_GB2312" w:hAnsi="仿宋_GB2312" w:cs="仿宋_GB2312" w:eastAsia="仿宋_GB2312"/>
                      <w:sz w:val="20"/>
                    </w:rPr>
                    <w:t>3.AI识别系统要求：</w:t>
                  </w:r>
                </w:p>
                <w:p>
                  <w:pPr>
                    <w:pStyle w:val="null3"/>
                    <w:jc w:val="both"/>
                  </w:pPr>
                  <w:r>
                    <w:rPr>
                      <w:rFonts w:ascii="仿宋_GB2312" w:hAnsi="仿宋_GB2312" w:cs="仿宋_GB2312" w:eastAsia="仿宋_GB2312"/>
                      <w:sz w:val="20"/>
                    </w:rPr>
                    <w:t>物种识别数量：</w:t>
                  </w:r>
                  <w:r>
                    <w:rPr>
                      <w:rFonts w:ascii="仿宋_GB2312" w:hAnsi="仿宋_GB2312" w:cs="仿宋_GB2312" w:eastAsia="仿宋_GB2312"/>
                      <w:sz w:val="20"/>
                    </w:rPr>
                    <w:t>≥1000种、识别方式：支持云端识别或边缘端实时识别、声纹库更新：定期更新，覆盖保护区所在区域鸟类名录；</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红外相机</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★1.视频与照片：支持不低于4K（3840×2160）有声视频，照片有效像素≥3200万。</w:t>
                  </w:r>
                  <w:r>
                    <w:br/>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▲图像传感器有效像素≥ 800万像素，光学靶面尺寸≥1/1.8英寸。</w:t>
                  </w:r>
                  <w:r>
                    <w:br/>
                  </w:r>
                  <w:r>
                    <w:rPr>
                      <w:rFonts w:ascii="仿宋_GB2312" w:hAnsi="仿宋_GB2312" w:cs="仿宋_GB2312" w:eastAsia="仿宋_GB2312"/>
                      <w:sz w:val="20"/>
                    </w:rPr>
                    <w:t>3.无线功能：支持Wi-Fi直连手机APP，可实时预览、设置参数及回放图像。</w:t>
                  </w:r>
                  <w:r>
                    <w:br/>
                  </w:r>
                  <w:r>
                    <w:rPr>
                      <w:rFonts w:ascii="仿宋_GB2312" w:hAnsi="仿宋_GB2312" w:cs="仿宋_GB2312" w:eastAsia="仿宋_GB2312"/>
                      <w:sz w:val="20"/>
                    </w:rPr>
                    <w:t>4.快速触发：录像与拍照同步启动，启动时间≤0.2秒。</w:t>
                  </w:r>
                  <w:r>
                    <w:br/>
                  </w:r>
                  <w:r>
                    <w:rPr>
                      <w:rFonts w:ascii="仿宋_GB2312" w:hAnsi="仿宋_GB2312" w:cs="仿宋_GB2312" w:eastAsia="仿宋_GB2312"/>
                      <w:sz w:val="20"/>
                    </w:rPr>
                    <w:t>5.电源系统：AA电池（</w:t>
                  </w:r>
                  <w:r>
                    <w:rPr>
                      <w:rFonts w:ascii="仿宋_GB2312" w:hAnsi="仿宋_GB2312" w:cs="仿宋_GB2312" w:eastAsia="仿宋_GB2312"/>
                      <w:sz w:val="20"/>
                    </w:rPr>
                    <w:t>≥</w:t>
                  </w:r>
                  <w:r>
                    <w:rPr>
                      <w:rFonts w:ascii="仿宋_GB2312" w:hAnsi="仿宋_GB2312" w:cs="仿宋_GB2312" w:eastAsia="仿宋_GB2312"/>
                      <w:sz w:val="20"/>
                    </w:rPr>
                    <w:t>8节）；支持整体式快速更换电池。</w:t>
                  </w:r>
                  <w:r>
                    <w:br/>
                  </w:r>
                  <w:r>
                    <w:rPr>
                      <w:rFonts w:ascii="仿宋_GB2312" w:hAnsi="仿宋_GB2312" w:cs="仿宋_GB2312" w:eastAsia="仿宋_GB2312"/>
                      <w:sz w:val="20"/>
                    </w:rPr>
                    <w:t>6.检测系统：PIR + 移动智能双重检测，PIR灵敏度可调（高/中/低）。</w:t>
                  </w:r>
                  <w:r>
                    <w:br/>
                  </w:r>
                  <w:r>
                    <w:rPr>
                      <w:rFonts w:ascii="仿宋_GB2312" w:hAnsi="仿宋_GB2312" w:cs="仿宋_GB2312" w:eastAsia="仿宋_GB2312"/>
                      <w:sz w:val="20"/>
                    </w:rPr>
                    <w:t>7.</w:t>
                  </w:r>
                  <w:r>
                    <w:rPr>
                      <w:rFonts w:ascii="仿宋_GB2312" w:hAnsi="仿宋_GB2312" w:cs="仿宋_GB2312" w:eastAsia="仿宋_GB2312"/>
                      <w:sz w:val="21"/>
                    </w:rPr>
                    <w:t xml:space="preserve"> </w:t>
                  </w:r>
                  <w:r>
                    <w:rPr>
                      <w:rFonts w:ascii="仿宋_GB2312" w:hAnsi="仿宋_GB2312" w:cs="仿宋_GB2312" w:eastAsia="仿宋_GB2312"/>
                      <w:sz w:val="20"/>
                    </w:rPr>
                    <w:t>▲防护标准：≥IP6</w:t>
                  </w:r>
                  <w:r>
                    <w:rPr>
                      <w:rFonts w:ascii="仿宋_GB2312" w:hAnsi="仿宋_GB2312" w:cs="仿宋_GB2312" w:eastAsia="仿宋_GB2312"/>
                      <w:sz w:val="20"/>
                    </w:rPr>
                    <w:t>7</w:t>
                  </w:r>
                  <w:r>
                    <w:rPr>
                      <w:rFonts w:ascii="仿宋_GB2312" w:hAnsi="仿宋_GB2312" w:cs="仿宋_GB2312" w:eastAsia="仿宋_GB2312"/>
                      <w:sz w:val="20"/>
                    </w:rPr>
                    <w:t>防水防尘，支持</w:t>
                  </w:r>
                  <w:r>
                    <w:rPr>
                      <w:rFonts w:ascii="仿宋_GB2312" w:hAnsi="仿宋_GB2312" w:cs="仿宋_GB2312" w:eastAsia="仿宋_GB2312"/>
                      <w:sz w:val="20"/>
                    </w:rPr>
                    <w:t>5米以上深水短时浸泡；工作温度-40℃至+80℃。</w:t>
                  </w:r>
                  <w:r>
                    <w:br/>
                  </w:r>
                  <w:r>
                    <w:rPr>
                      <w:rFonts w:ascii="仿宋_GB2312" w:hAnsi="仿宋_GB2312" w:cs="仿宋_GB2312" w:eastAsia="仿宋_GB2312"/>
                      <w:sz w:val="20"/>
                    </w:rPr>
                    <w:t>8.镜头：F1.6大光圈，FOV可选70°或90°，高低温无变焦。</w:t>
                  </w:r>
                  <w:r>
                    <w:br/>
                  </w:r>
                  <w:r>
                    <w:rPr>
                      <w:rFonts w:ascii="仿宋_GB2312" w:hAnsi="仿宋_GB2312" w:cs="仿宋_GB2312" w:eastAsia="仿宋_GB2312"/>
                      <w:sz w:val="20"/>
                    </w:rPr>
                    <w:t>9.功耗：待机电流≤100µA，白天工作电流≤180mA。</w:t>
                  </w:r>
                  <w:r>
                    <w:br/>
                  </w:r>
                  <w:r>
                    <w:rPr>
                      <w:rFonts w:ascii="仿宋_GB2312" w:hAnsi="仿宋_GB2312" w:cs="仿宋_GB2312" w:eastAsia="仿宋_GB2312"/>
                      <w:sz w:val="20"/>
                    </w:rPr>
                    <w:t>10.存储：最大支持512GB SD卡；每台设备随附两张128GB SD卡。</w:t>
                  </w:r>
                  <w:r>
                    <w:br/>
                  </w:r>
                  <w:r>
                    <w:rPr>
                      <w:rFonts w:ascii="仿宋_GB2312" w:hAnsi="仿宋_GB2312" w:cs="仿宋_GB2312" w:eastAsia="仿宋_GB2312"/>
                      <w:sz w:val="20"/>
                    </w:rPr>
                    <w:t>11.显示屏：≥2.4英寸可旋转高清屏。</w:t>
                  </w:r>
                  <w:r>
                    <w:br/>
                  </w:r>
                  <w:r>
                    <w:rPr>
                      <w:rFonts w:ascii="仿宋_GB2312" w:hAnsi="仿宋_GB2312" w:cs="仿宋_GB2312" w:eastAsia="仿宋_GB2312"/>
                      <w:sz w:val="20"/>
                    </w:rPr>
                    <w:t>12.配套软件：具备批量处理（重命名、水印、时间修改）、智能分拣、数据管理等功能</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多功能卫星热点终端</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1、▲整机外形尺寸不大于150mm×150mm×150mm；外壳优先选用ASA合成树脂，底壳采用铝合金材质。</w:t>
                  </w:r>
                </w:p>
                <w:p>
                  <w:pPr>
                    <w:pStyle w:val="null3"/>
                    <w:jc w:val="both"/>
                  </w:pPr>
                  <w:r>
                    <w:rPr>
                      <w:rFonts w:ascii="仿宋_GB2312" w:hAnsi="仿宋_GB2312" w:cs="仿宋_GB2312" w:eastAsia="仿宋_GB2312"/>
                      <w:sz w:val="20"/>
                    </w:rPr>
                    <w:t>2、有线接口：RJ45网口，具备二线电话接入功能；无线接口：802.11 b/g/n Wlan（WiFi）；</w:t>
                  </w:r>
                </w:p>
                <w:p>
                  <w:pPr>
                    <w:pStyle w:val="null3"/>
                    <w:jc w:val="both"/>
                  </w:pPr>
                  <w:r>
                    <w:rPr>
                      <w:rFonts w:ascii="仿宋_GB2312" w:hAnsi="仿宋_GB2312" w:cs="仿宋_GB2312" w:eastAsia="仿宋_GB2312"/>
                      <w:sz w:val="20"/>
                    </w:rPr>
                    <w:t>▲标配RJ</w:t>
                  </w:r>
                  <w:r>
                    <w:rPr>
                      <w:rFonts w:ascii="仿宋_GB2312" w:hAnsi="仿宋_GB2312" w:cs="仿宋_GB2312" w:eastAsia="仿宋_GB2312"/>
                      <w:sz w:val="20"/>
                    </w:rPr>
                    <w:t>11</w:t>
                  </w:r>
                  <w:r>
                    <w:rPr>
                      <w:rFonts w:ascii="仿宋_GB2312" w:hAnsi="仿宋_GB2312" w:cs="仿宋_GB2312" w:eastAsia="仿宋_GB2312"/>
                      <w:sz w:val="20"/>
                    </w:rPr>
                    <w:t>二线电话接口、原厂航插转适配器插座。</w:t>
                  </w:r>
                </w:p>
                <w:p>
                  <w:pPr>
                    <w:pStyle w:val="null3"/>
                    <w:jc w:val="both"/>
                  </w:pPr>
                  <w:r>
                    <w:rPr>
                      <w:rFonts w:ascii="仿宋_GB2312" w:hAnsi="仿宋_GB2312" w:cs="仿宋_GB2312" w:eastAsia="仿宋_GB2312"/>
                      <w:sz w:val="20"/>
                    </w:rPr>
                    <w:t>3、电池电源：▲电池容量≥10000mAh；整机支持12~24V直流供电输入；标配12V电源适配器，可配套航插转接供电。</w:t>
                  </w:r>
                </w:p>
                <w:p>
                  <w:pPr>
                    <w:pStyle w:val="null3"/>
                    <w:jc w:val="both"/>
                  </w:pPr>
                  <w:r>
                    <w:rPr>
                      <w:rFonts w:ascii="仿宋_GB2312" w:hAnsi="仿宋_GB2312" w:cs="仿宋_GB2312" w:eastAsia="仿宋_GB2312"/>
                      <w:sz w:val="20"/>
                    </w:rPr>
                    <w:t>★要求：分别定点部署至厚畛子、板房子、老县城三座保护站，提供3年免费硬件运维期。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监测强光手电</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额定功率：</w:t>
                  </w:r>
                  <w:r>
                    <w:rPr>
                      <w:rFonts w:ascii="仿宋_GB2312" w:hAnsi="仿宋_GB2312" w:cs="仿宋_GB2312" w:eastAsia="仿宋_GB2312"/>
                      <w:sz w:val="20"/>
                    </w:rPr>
                    <w:t>≥52W；</w:t>
                  </w:r>
                </w:p>
                <w:p>
                  <w:pPr>
                    <w:pStyle w:val="null3"/>
                    <w:numPr>
                      <w:ilvl w:val="0"/>
                      <w:numId w:val="1"/>
                    </w:numPr>
                    <w:jc w:val="both"/>
                  </w:pPr>
                  <w:r>
                    <w:rPr>
                      <w:rFonts w:ascii="仿宋_GB2312" w:hAnsi="仿宋_GB2312" w:cs="仿宋_GB2312" w:eastAsia="仿宋_GB2312"/>
                      <w:sz w:val="20"/>
                    </w:rPr>
                    <w:t>最大亮度：</w:t>
                  </w:r>
                  <w:r>
                    <w:rPr>
                      <w:rFonts w:ascii="仿宋_GB2312" w:hAnsi="仿宋_GB2312" w:cs="仿宋_GB2312" w:eastAsia="仿宋_GB2312"/>
                      <w:sz w:val="20"/>
                    </w:rPr>
                    <w:t>≥4136流明；灯芯配置：4核高亮灯芯；有效射程：≥270m；</w:t>
                  </w:r>
                </w:p>
                <w:p>
                  <w:pPr>
                    <w:pStyle w:val="null3"/>
                    <w:numPr>
                      <w:ilvl w:val="0"/>
                      <w:numId w:val="1"/>
                    </w:numPr>
                    <w:jc w:val="both"/>
                  </w:pPr>
                  <w:r>
                    <w:rPr>
                      <w:rFonts w:ascii="仿宋_GB2312" w:hAnsi="仿宋_GB2312" w:cs="仿宋_GB2312" w:eastAsia="仿宋_GB2312"/>
                      <w:sz w:val="20"/>
                    </w:rPr>
                    <w:t>续航时间：</w:t>
                  </w:r>
                  <w:r>
                    <w:rPr>
                      <w:rFonts w:ascii="仿宋_GB2312" w:hAnsi="仿宋_GB2312" w:cs="仿宋_GB2312" w:eastAsia="仿宋_GB2312"/>
                      <w:sz w:val="20"/>
                    </w:rPr>
                    <w:t>≥16h；电池规格：标配21700锂电池，容量≥4000mAh</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野外监测移动电源</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电池容量：</w:t>
                  </w:r>
                  <w:r>
                    <w:rPr>
                      <w:rFonts w:ascii="仿宋_GB2312" w:hAnsi="仿宋_GB2312" w:cs="仿宋_GB2312" w:eastAsia="仿宋_GB2312"/>
                      <w:sz w:val="20"/>
                    </w:rPr>
                    <w:t>≥1536Wh（1.5度电）；AC额定输出功率：≥2200W（纯正弦波交流输出）；AC峰值功率：≥4000W；循环寿命：≥1500次；</w:t>
                  </w:r>
                </w:p>
                <w:p>
                  <w:pPr>
                    <w:pStyle w:val="null3"/>
                    <w:numPr>
                      <w:ilvl w:val="0"/>
                      <w:numId w:val="1"/>
                    </w:numPr>
                    <w:jc w:val="both"/>
                  </w:pPr>
                  <w:r>
                    <w:rPr>
                      <w:rFonts w:ascii="仿宋_GB2312" w:hAnsi="仿宋_GB2312" w:cs="仿宋_GB2312" w:eastAsia="仿宋_GB2312"/>
                      <w:sz w:val="20"/>
                    </w:rPr>
                    <w:t>接口配置：含</w:t>
                  </w:r>
                  <w:r>
                    <w:rPr>
                      <w:rFonts w:ascii="仿宋_GB2312" w:hAnsi="仿宋_GB2312" w:cs="仿宋_GB2312" w:eastAsia="仿宋_GB2312"/>
                      <w:sz w:val="20"/>
                    </w:rPr>
                    <w:t>AC插座、USB-C、USB-A、DC输出及太阳能输入等；太阳能板额定功率：≥200W（可折叠）</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四、服务要求</w:t>
            </w:r>
          </w:p>
          <w:p>
            <w:pPr>
              <w:pStyle w:val="null3"/>
            </w:pPr>
            <w:r>
              <w:rPr>
                <w:rFonts w:ascii="仿宋_GB2312" w:hAnsi="仿宋_GB2312" w:cs="仿宋_GB2312" w:eastAsia="仿宋_GB2312"/>
              </w:rPr>
              <w:t>供</w:t>
            </w:r>
            <w:r>
              <w:rPr>
                <w:rFonts w:ascii="仿宋_GB2312" w:hAnsi="仿宋_GB2312" w:cs="仿宋_GB2312" w:eastAsia="仿宋_GB2312"/>
              </w:rPr>
              <w:t>应商签订合同后，根据采购人的采购需要，甲方有权享有乙方按照约定提供的服务；要求乙方按合同约定时间完成建设任务；甲方在收到乙方通知后，应按招标文件的需求对项目所用货物进行核实，如发现不符合合同规定或短缺，及时提出；乙方保证其所交付的产品没有侵犯任何第三人的知识产权和商业秘密；乙方应按合同约定提供项目相关的技术文档材料，及时交付产品；对双方共同确认的甲方受训人员提供集中培训服务不少于</w:t>
            </w:r>
            <w:r>
              <w:rPr>
                <w:rFonts w:ascii="仿宋_GB2312" w:hAnsi="仿宋_GB2312" w:cs="仿宋_GB2312" w:eastAsia="仿宋_GB2312"/>
              </w:rPr>
              <w:t>2次，每次培训不少于3小时，培训内容按双方确认的大纲执行；培训结束后应组织考核/验收，考核合格标准为“参加培训的保护区相关监测人员能熟练使用所有设备的操作方法”，未达标的乙方应免费补训直至甲方受训人员完全掌握产品各项功能为止；按照双方确认的期限负责产品的安装、测试、调试工作及后续的维护工作。</w:t>
            </w:r>
          </w:p>
          <w:p>
            <w:pPr>
              <w:pStyle w:val="null3"/>
              <w:jc w:val="both"/>
            </w:pPr>
            <w:r>
              <w:rPr>
                <w:rFonts w:ascii="仿宋_GB2312" w:hAnsi="仿宋_GB2312" w:cs="仿宋_GB2312" w:eastAsia="仿宋_GB2312"/>
              </w:rPr>
              <w:t>售后服务与履约服务（实质性要求）</w:t>
            </w:r>
          </w:p>
          <w:p>
            <w:pPr>
              <w:pStyle w:val="null3"/>
            </w:pPr>
            <w:r>
              <w:rPr>
                <w:rFonts w:ascii="仿宋_GB2312" w:hAnsi="仿宋_GB2312" w:cs="仿宋_GB2312" w:eastAsia="仿宋_GB2312"/>
              </w:rPr>
              <w:t>★1、中标供应商须按保护区指定点位完成全套设备进场、安装布设、硬件调试、通讯联调，确保设备稳定在线采集数据；投标总价包干包含设备供货、现场施工安装、数据传输配套全部费用，采购人无需额外付费。</w:t>
            </w:r>
          </w:p>
          <w:p>
            <w:pPr>
              <w:pStyle w:val="null3"/>
            </w:pPr>
            <w:r>
              <w:rPr>
                <w:rFonts w:ascii="仿宋_GB2312" w:hAnsi="仿宋_GB2312" w:cs="仿宋_GB2312" w:eastAsia="仿宋_GB2312"/>
              </w:rPr>
              <w:t>★2、投标人需依托长期监测声学数据，配合甲方开展区域鸟类声学调查，按要求提交声景监测分析成果资料。</w:t>
            </w:r>
          </w:p>
          <w:p>
            <w:pPr>
              <w:pStyle w:val="null3"/>
            </w:pPr>
            <w:r>
              <w:rPr>
                <w:rFonts w:ascii="仿宋_GB2312" w:hAnsi="仿宋_GB2312" w:cs="仿宋_GB2312" w:eastAsia="仿宋_GB2312"/>
              </w:rPr>
              <w:t>★3、全套设备硬件、AI识别系统整体提供3年免费上门运维质保；质保期内非人为损坏免费维修、更换配件、远程调试、鸟类声纹库免费迭代升级；明确故障响应时限、现场巡检规则。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自合同签订之日起365个日历日完成全部项目内容，并交付采购人初验合格。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自合同签订之日起90个日历日完成全部项目内容，并交付采购人验收合格。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进度款，合同签订且施工人员进场后，达到付款条件起15个工作日内，支付合同总金额的40.0%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进度款，完成供货安装调试并初验合格，且财政资金拨付到位后，达到付款条件起15个工作日内，支付合同总金额的60.0%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进度款，合同签订且施工人员进场后，乙方向甲方开具并交付等额合法有效的增值税专用发票，甲方在收到发票且审核无误，达到付款条件起15个工作日内，支付合同总金额的40.0%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安装调试并验收合格，且乙方在第二次付款前向甲方提交完整的项目交付文档、培训记录、质保承诺书等全部应归档的材料后，乙方向甲方开具并交付等额合法有效的增值税专用发票，甲方在收到发票且审核无误，并确认乙方已完成对应阶段全部履约义务后，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由甲方实施验收。验收依据：行业质量验收标准，系统运行、数据上报、业务对接正常。 1.本合同及附加文本； 2.磋商文件、成交供应商的响应文件及澄清（承诺）函； 3.国家相应的标准、规范。 如项目未通过验收的，乙方应在20日内排除故障，进行整改，并承担相关费用。如甲方自收到乙方提交得验收资料 20 日内无正当理由未组织验收，超过20日则视为验收合格。内完成验收工作、未提出书面异议，则视为项目验收合格。若甲方认为乙方交付的产品存在不符合合同约定情形的，甲方应在收到乙方验收申请后20日内提出书面异议，双方友好协商解决。乙方应在双方确认的期限内用符合本合同约定的产品更换或整改产品，乙方承担更换或整改产品产生的所有费用，乙方更换或整改产品后再次申请验收，直至验收通过。 本项目实施过程中，项目的内容、要求、验收、使用标准以采购文件要求为依据，若甲方中途变更方案或产品以及由此引起的相应费用的变化，双方另行协商达成一致意见后以书面形式确定。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由甲方实施验收。验收依据：行业质量验收标准，系统运行、数据上报、业务对接正常。 1、本合同及附加文本； 2、磋商文件、成交供应商的响应文件及澄清（承诺）函； 3、国家相应的标准、规范。 如项目未通过验收的，乙方应排除故障，进行整改，承担相关费用。甲方应在收到乙方验收申请后20日内完成验收工作，未提出书面异议的，视为项目验收合格；若甲方认为乙方交付的产品存在不符合合同约定情形的，应在前述20日期限内提出书面异议，双方友好协商解决。乙方应在双方确认的期限内用符合本合同约定的产品更换或整改产品，乙方承担更换或整改产品产生的所有费用，乙方更换或整改产品后再次申请验收。 本项目实施过程中，项目的内容、要求、验收、使用标准以采购文件要求为依据，若甲方中途变更方案或产品以及由此引起的相应费用的变化，双方另行协商达成一致意见后以书面形式确定。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1、乙方每次上门提供排查、维护服务的持续服务时间不得短于72小时；如72小时内未能排除故障，乙方应做出合理解释，提供相应有效解决方案，经甲方认可后免费实施直至故障彻底排除。 2、乙方保证不影响甲方正常业务和保证数据完整的前提下进行实施工作。并承担由此工作带来的所有责任和造成的经济损失。 3、整体项目竣工验收合格后进入质保期，质保期为一年。 4、乙方指定专业项目经理专职负责整体项目实施。甲方有权要求乙方更换项目专职经理。 5、当产品不能正常运行时，应在接到甲方书面或口头通知后1小时内予以有效响应，明确告知甲方故障排查方案及预计处理时效，提供电话、网络远程等技术支持，如果通过以上方式仍不能正常运行的，乙方必须在24小时内到达现场进行维护。 6、在设备系统投入使用前，必须对各应用设备系统相关人员进行免费业务技术培训，对甲方管理人员免费提供具有针对性的系统培训，培训内容应包括设备操作、日常维护、常见故障排查、数据导出分析等全部相关内容，优先采用现场实操培训方式，每次培训时长不少于2个工作日；经3次培训后仍有甲方人员未完全掌握的，乙方应免费提供后续上门指导服务，不得额外收取任何费用。培训方式由双方商定，若需异地培训，因异地培训产生的所有费用由乙方承担。 7、保修、质保期内，维修费用、乙方维修人员的差旅费及其它相关费用均由乙方承担。 8、乙方提供产品应无任何瑕疵，如在使用过程中本产品存在隐蔽瑕疵造成事故而引发的纠纷，由乙方全额负责赔偿，并免费为甲方修复瑕疵或更新换代，期间产生的费用均由乙方承担。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1、乙方每次上门提供排查、维护服务的持续服务时间不得短于72小时；如72小时内未能排除故障，乙方应做出合理解释，提供相应有效解决方案，经甲方认可后免费实施直至故障彻底排除。 2、乙方保证不影响甲方正常业务和保证数据完整的前提下进行实施工作。并承担由此工作带来的所有责任和造成的经济损失。 3、整体项目竣工验收合格后进入质保期，除声景监测设备（被动声学监测设备）、多功能卫星热点终端质保期为三年，其余设备质保期为一年。 4、乙方指定专业项目经理专职负责整体项目实施。甲方有权要求乙方更换项目专职经理。 5、当产品不能正常运行时，应在接到甲方书面或口头通知后1小时内予以有效响应，明确告知甲方故障排查方案及预计处理时效，提供电话、网络远程等技术支持，如果通过以上方式仍不能正常运行的，乙方必须在24小时内到达现场进行维护。 6、在设备系统投入使用前，必须对各应用设备系统相关人员进行免费业务技术培训，对甲方管理人员免费提供具有针对性的系统培训，培训内容应包括设备操作、日常维护、常见故障排查、数据导出分析等全部相关内容，优先采用现场实操培训方式，每次培训时长不少于2个工作日；经3次培训后仍有甲方人员未完全掌握的，乙方应免费提供后续上门指导服务，不得额外收取任何费用。培训方式由双方商定，若需异地培训，因异地培训产生的所有费用由乙方承担。 7、保修、质保期内，维修费用、乙方维修人员的差旅费及其它相关费用均由乙方承担。 8、乙方提供产品应无任何瑕疵，如在使用过程中本产品存在隐蔽瑕疵造成事故而引发的纠纷，由乙方全额负责赔偿，并免费为甲方修复瑕疵或更新换代，期间产生的费用均由乙方承担。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1、乙方如未按照本合同约定时间完成安装、调试等建设项目任务，每逾期一天应向甲方支付本合同总价款0.5‰的违约金，违约金总额以本合同总价款的30%为上限。乙方逾期超过30天的，甲方有权解除合同。 如乙方交付的产品数量、品种、规格、质量不符合国家标准和合同约定的，由乙方负责包换、退货，并承担由此给甲方造成的所有经济损失。 乙方收到甲方整改要求后逾期更换或整改产品的，每逾期一日按合同总价款的0.5‰向甲方支付违约金，逾期超过30日的，甲方有权直接解除合同并要求乙方承担合同总价款20%的违约金。 2、除前款约定外，乙方未按合同要求提供产品或提供虚假材料，且质量不能满足技术要求的，甲方有权解除合同，并对乙方的违法、违约行为进行追究。 3、乙方确保甲方购买的产品拥有合法、完整且不受任何第三方权利主张影响的知识产权（包括但不限于著作权、专利权、商标权等），均为合法授权的正版产品。如因甲方购买、使用本合同项下全部产品（包括配套设备、软件、系统及数据服务等）引起或涉及与任何第三方发生法律、经济纠纷或权利主张的，乙方应承担全部责任并积极参与处理，承担甲方因此遭受的全部损失（包括但不限于赔偿费、律师费、交通费、诉讼费、公告费、保全费、保全担保费等）。乙方并应退还甲方已支付的全部款项，并按合同价款总额的20%向甲方支付违约金。 4、甲方未按合同约定提供工作条件或完成配合事项，或者提供工作条件、完成配合事项不符合合同约定影响项目进度和质量的，项目交付期限相应顺延。 5、因甲方违约导致本合同解除的，乙方有权按已履行完毕的服务内容向甲方收取对应合同价款。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1、乙方如未按照本合同约定时间完成安装、调试等建设项目任务，每逾期一天应向甲方支付本合同总价款0.5‰的违约金，违约金总额以本合同总价款的30%为上限。乙方逾期超过30天的，甲方有权解除合同。 如乙方交付的产品数量、品种、规格、质量不符合国家标准和合同约定的，由乙方负责包换、退货，并承担由此给甲方造成的所有经济损失。 乙方收到甲方整改要求后逾期更换或整改产品的，每逾期一日按合同总价款的0.5‰向甲方支付违约金，逾期超过30日的，甲方有权直接解除合同并要求乙方承担合同总价款20%的违约金。 2、除前款约定外，乙方未按合同要求提供产品或提供虚假材料，且质量不能满足技术要求的，甲方有权解除合同，并对乙方的违法、违约行为进行追究。 3、乙方确保甲方购买的产品拥有合法、完整且不受任何第三方权利主张影响的知识产权（包括但不限于著作权、专利权、商标权等），均为合法授权的正版产品。如因甲方购买、使用本合同项下全部产品（包括配套设备、软件、系统及数据服务等）引起或涉及与任何第三方发生法律、经济纠纷或权利主张的，乙方应承担全部责任并积极参与处理，承担甲方因此遭受的全部损失（包括但不限于赔偿费、律师费、交通费、诉讼费、公告费、保全费、保全担保费等）。乙方并应退还甲方已支付的全部款项，并按合同价款总额的20%向甲方支付违约金。 4、甲方未按合同约定提供工作条件或完成配合事项，或者提供工作条件、完成配合事项不符合合同约定影响项目进度和质量的，项目交付期限相应顺延。 5、因甲方违约导致本合同解除的，乙方有权按已履行完毕的服务内容向甲方收取对应合同价款。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1、成交单位在中标(成交)结果公告结束后3个工作日内向采购代理机构提供纸质版响应文件正本一份（正本加盖鲜章），副本二份，电子U盘一份(投标文件内容与电子版一致)。文件地点： 陕西省西安市碑林区长安北路113号大话南门壹中心14楼1401室。 2、本项目采购包2（保护监测设施设备购置）不组织集中踏勘，供应商如有需要，可自行前往实地进行踏勘；如未进行踏勘，视为了解本项目所有实地情况，自行承担可能因此导致的相关后果。 3、本项目采购包名称为：采购包1（生态保护宣传教育）；采购包2（保护监测设施设备购置）；本项目所有须填写采购包名称处，均按此执行。 4、采购包1（生态保护宣传教育）专门面向中小企业采购，即所有产品的制造商均要为中小企业，填写中小企业声明函时需逐项填写产品名称及其制造商信息。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2025年度的财务报告（成立时间至投标文件递交截止时间不足一年的可提供成立后任意时段的资产负债表、利润表、现金流量表）或响应文件递交截止时间前六个月内任意三月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供应商需在项目电子化交易系统中按要求填写《投标函》完成承诺及基本资格要求内填写《供应商企业关系关联承诺书》并进行电子签章。</w:t>
            </w:r>
          </w:p>
        </w:tc>
        <w:tc>
          <w:tcPr>
            <w:tcW w:type="dxa" w:w="1661"/>
          </w:tcPr>
          <w:p>
            <w:pPr>
              <w:pStyle w:val="null3"/>
            </w:pPr>
            <w:r>
              <w:rPr>
                <w:rFonts w:ascii="仿宋_GB2312" w:hAnsi="仿宋_GB2312" w:cs="仿宋_GB2312" w:eastAsia="仿宋_GB2312"/>
              </w:rPr>
              <w:t>3、基本资格要求.docx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3、基本资格要求.docx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2025年度的财务报告（成立时间至投标文件递交截止时间不足一年的可提供成立后任意时段的资产负债表、利润表、现金流量表）或响应文件递交截止时间前六个月内任意三月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供应商需在项目电子化交易系统中按要求填写《投标函》完成承诺及基本资格要求内填写《供应商企业关系关联承诺书》并进行电子签章。</w:t>
            </w:r>
          </w:p>
        </w:tc>
        <w:tc>
          <w:tcPr>
            <w:tcW w:type="dxa" w:w="1661"/>
          </w:tcPr>
          <w:p>
            <w:pPr>
              <w:pStyle w:val="null3"/>
            </w:pPr>
            <w:r>
              <w:rPr>
                <w:rFonts w:ascii="仿宋_GB2312" w:hAnsi="仿宋_GB2312" w:cs="仿宋_GB2312" w:eastAsia="仿宋_GB2312"/>
              </w:rPr>
              <w:t>3、基本资格要求.docx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3、基本资格要求.docx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4、特殊资格证明.docx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4、特殊资格证明.docx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供应商的响应报价超过采购预算或未按磋商文件要求提供分项报价表，响应无效。</w:t>
            </w:r>
          </w:p>
        </w:tc>
        <w:tc>
          <w:tcPr>
            <w:tcW w:type="dxa" w:w="1661"/>
          </w:tcPr>
          <w:p>
            <w:pPr>
              <w:pStyle w:val="null3"/>
            </w:pPr>
            <w:r>
              <w:rPr>
                <w:rFonts w:ascii="仿宋_GB2312" w:hAnsi="仿宋_GB2312" w:cs="仿宋_GB2312" w:eastAsia="仿宋_GB2312"/>
              </w:rPr>
              <w:t>1、分项报价表.docx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磋商有效期不少于磋商文件要求，否则其响应无效。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供应商未提供拒绝政府采购领域商业贿赂承诺书，响应无效。</w:t>
            </w:r>
          </w:p>
        </w:tc>
        <w:tc>
          <w:tcPr>
            <w:tcW w:type="dxa" w:w="1661"/>
          </w:tcPr>
          <w:p>
            <w:pPr>
              <w:pStyle w:val="null3"/>
            </w:pPr>
            <w:r>
              <w:rPr>
                <w:rFonts w:ascii="仿宋_GB2312" w:hAnsi="仿宋_GB2312" w:cs="仿宋_GB2312" w:eastAsia="仿宋_GB2312"/>
              </w:rPr>
              <w:t>2、陕西省政府采购供应商拒绝政府采购领域商业贿赂承诺书.docx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采购文件技术要求响应情况，若加★号负偏离，响应无效。</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采购文件商务要求响应情况，若负偏离，响应无效。</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出现不符合法律法规和采购文件中规定的其他实质性要求的情况，响应无效。</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供应商的响应报价超过采购预算或未按磋商文件要求提供分项报价表，响应无效。</w:t>
            </w:r>
          </w:p>
        </w:tc>
        <w:tc>
          <w:tcPr>
            <w:tcW w:type="dxa" w:w="1661"/>
          </w:tcPr>
          <w:p>
            <w:pPr>
              <w:pStyle w:val="null3"/>
            </w:pPr>
            <w:r>
              <w:rPr>
                <w:rFonts w:ascii="仿宋_GB2312" w:hAnsi="仿宋_GB2312" w:cs="仿宋_GB2312" w:eastAsia="仿宋_GB2312"/>
              </w:rPr>
              <w:t>1、分项报价表.docx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磋商有效期不少于磋商文件要求，否则其响应无效。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供应商未提供拒绝政府采购领域商业贿赂承诺书，响应无效。</w:t>
            </w:r>
          </w:p>
        </w:tc>
        <w:tc>
          <w:tcPr>
            <w:tcW w:type="dxa" w:w="1661"/>
          </w:tcPr>
          <w:p>
            <w:pPr>
              <w:pStyle w:val="null3"/>
            </w:pPr>
            <w:r>
              <w:rPr>
                <w:rFonts w:ascii="仿宋_GB2312" w:hAnsi="仿宋_GB2312" w:cs="仿宋_GB2312" w:eastAsia="仿宋_GB2312"/>
              </w:rPr>
              <w:t>2、陕西省政府采购供应商拒绝政府采购领域商业贿赂承诺书.docx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采购文件技术要求响应情况，若加★号负偏离，响应无效。</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采购文件商务要求响应情况，若负偏离，响应无效。</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出现不符合法律法规和采购文件中规定的其他实质性要求的情况，响应无效。</w:t>
            </w:r>
          </w:p>
        </w:tc>
        <w:tc>
          <w:tcPr>
            <w:tcW w:type="dxa" w:w="1661"/>
          </w:tcPr>
          <w:p>
            <w:pPr>
              <w:pStyle w:val="null3"/>
            </w:pPr>
            <w:r>
              <w:rPr>
                <w:rFonts w:ascii="仿宋_GB2312" w:hAnsi="仿宋_GB2312" w:cs="仿宋_GB2312" w:eastAsia="仿宋_GB2312"/>
              </w:rPr>
              <w:t>响应文件封面 产品技术参数表 残疾人福利性单位声明函 中小企业声明函 商务应答表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应对技术要求中的技术参数进行应答且证明材料提供完整得基础分36分，其中“▲”项技术参数出现负偏离或缺失相关证明材料扣1分；普通参数负偏离或缺失相关证明材料扣0.4分。所投产品技术参数完全复制粘贴磋商文件中的技术要求，视为无实质性响应。 评审依据:提供技术参数偏离表及相关证明材料（不限于产品技术说明、产品彩页、检测报告、官网功能截图等）。</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针对本项目提供的实施方案，至少包括： ①供货组织安排，包括仓储、运输、交付方案等内容； ②实施步骤、进度计划和保证措施、安全控制方案及质量措施； ③组织机构人员配置、协调能力； ④验收方案。 二、评审标准（评审内容每项3分） 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所投产品供应渠道正常，无假货、水货、无产权纠纷，提供相关证明材料，得5分，未提供不得分。 注：生产厂家提供产品制造能力证明，代理商提供产品来源渠道证明材料(包括但不限于厂家授权、代理协议、经销合同等)，未提供证明材料的不得分。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6、产品进货渠道.docx</w:t>
            </w:r>
          </w:p>
        </w:tc>
      </w:tr>
      <w:tr>
        <w:tc>
          <w:tcPr>
            <w:tcW w:type="dxa" w:w="831"/>
            <w:vMerge/>
          </w:tcPr>
          <w:p/>
        </w:tc>
        <w:tc>
          <w:tcPr>
            <w:tcW w:type="dxa" w:w="1661"/>
          </w:tcPr>
          <w:p>
            <w:pPr>
              <w:pStyle w:val="null3"/>
            </w:pPr>
            <w:r>
              <w:rPr>
                <w:rFonts w:ascii="仿宋_GB2312" w:hAnsi="仿宋_GB2312" w:cs="仿宋_GB2312" w:eastAsia="仿宋_GB2312"/>
              </w:rPr>
              <w:t>产品质量保证及承诺</w:t>
            </w:r>
          </w:p>
        </w:tc>
        <w:tc>
          <w:tcPr>
            <w:tcW w:type="dxa" w:w="2492"/>
          </w:tcPr>
          <w:p>
            <w:pPr>
              <w:pStyle w:val="null3"/>
            </w:pPr>
            <w:r>
              <w:rPr>
                <w:rFonts w:ascii="仿宋_GB2312" w:hAnsi="仿宋_GB2312" w:cs="仿宋_GB2312" w:eastAsia="仿宋_GB2312"/>
              </w:rPr>
              <w:t>一、评审内容 针对本项目提供的产品质量保证及承诺至少包括： ①产品质量问题的处理方式和措施； ②产品质量保证承诺等。 二、评审标准 （评审内容每项2分）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7、产品质量保证及承诺.docx</w:t>
            </w:r>
          </w:p>
        </w:tc>
      </w:tr>
      <w:tr>
        <w:tc>
          <w:tcPr>
            <w:tcW w:type="dxa" w:w="831"/>
            <w:vMerge/>
          </w:tcPr>
          <w:p/>
        </w:tc>
        <w:tc>
          <w:tcPr>
            <w:tcW w:type="dxa" w:w="1661"/>
          </w:tcPr>
          <w:p>
            <w:pPr>
              <w:pStyle w:val="null3"/>
            </w:pPr>
            <w:r>
              <w:rPr>
                <w:rFonts w:ascii="仿宋_GB2312" w:hAnsi="仿宋_GB2312" w:cs="仿宋_GB2312" w:eastAsia="仿宋_GB2312"/>
              </w:rPr>
              <w:t>应急及售后服务方案</w:t>
            </w:r>
          </w:p>
        </w:tc>
        <w:tc>
          <w:tcPr>
            <w:tcW w:type="dxa" w:w="2492"/>
          </w:tcPr>
          <w:p>
            <w:pPr>
              <w:pStyle w:val="null3"/>
            </w:pPr>
            <w:r>
              <w:rPr>
                <w:rFonts w:ascii="仿宋_GB2312" w:hAnsi="仿宋_GB2312" w:cs="仿宋_GB2312" w:eastAsia="仿宋_GB2312"/>
              </w:rPr>
              <w:t>一、评审内容 针对本项目提供的应急及售后服务方案至少包括： ①应急处置方案； ②售后服务方案。 二、评审标准（评审内容每项2分）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8、应急及售后服务方案.docx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供应商需提供2023年05月01日至今同类项目业绩（以合同签订日期为准），响应文件中提供合同复印件加盖供应商公章，每提供一个计1.8分，满分9分。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即满足磋商文件要求且价格最低的磋商报价为评标基准价，其价格分为满分。 其他供应商的价格分统一按照下列公式计算： 磋商报价得分=（评审基准价/最终报价）×价格权值（即30%）×100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应对技术要求中的技术参数进行应答且证明材料提供完整得基础分35.5分，其中“▲”项技术参数出现负偏离或缺失相关证明材料扣3.5分；普通参数负偏离或缺失相关证明材料扣1分。所投产品技术参数完全复制粘贴磋商文件中的技术要求，视为无实质性响应。 评审依据:提供技术参数偏离表及相关证明材料（不限于产品技术说明、产品彩页、检测报告、官网功能截图等）。</w:t>
            </w:r>
          </w:p>
        </w:tc>
        <w:tc>
          <w:tcPr>
            <w:tcW w:type="dxa" w:w="831"/>
          </w:tcPr>
          <w:p>
            <w:pPr>
              <w:pStyle w:val="null3"/>
              <w:jc w:val="right"/>
            </w:pPr>
            <w:r>
              <w:rPr>
                <w:rFonts w:ascii="仿宋_GB2312" w:hAnsi="仿宋_GB2312" w:cs="仿宋_GB2312" w:eastAsia="仿宋_GB2312"/>
              </w:rPr>
              <w:t>35.5000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针对本项目提供的实施方案，至少包括： ①供货组织安排，包括仓储、运输、交付方案等内容； ②实施步骤、进度计划和保证措施、安全控制方案及质量措施； ③组织机构人员配置、协调能力； ④验收方案。 二、评审标准（评审内容每项3分）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所投产品供应渠道正常，无假货、水货、无产权纠纷，提供相关证明材料，得5.5分，未提供不得分。 注：生产厂家提供产品制造能力证明，代理商提供产品来源渠道证明材料(包括但不限于厂家授权、代理协议、经销合同等)，未提供证明材料的不得分。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6、产品进货渠道.docx</w:t>
            </w:r>
          </w:p>
        </w:tc>
      </w:tr>
      <w:tr>
        <w:tc>
          <w:tcPr>
            <w:tcW w:type="dxa" w:w="831"/>
            <w:vMerge/>
          </w:tcPr>
          <w:p/>
        </w:tc>
        <w:tc>
          <w:tcPr>
            <w:tcW w:type="dxa" w:w="1661"/>
          </w:tcPr>
          <w:p>
            <w:pPr>
              <w:pStyle w:val="null3"/>
            </w:pPr>
            <w:r>
              <w:rPr>
                <w:rFonts w:ascii="仿宋_GB2312" w:hAnsi="仿宋_GB2312" w:cs="仿宋_GB2312" w:eastAsia="仿宋_GB2312"/>
              </w:rPr>
              <w:t>产品质量保证及承诺</w:t>
            </w:r>
          </w:p>
        </w:tc>
        <w:tc>
          <w:tcPr>
            <w:tcW w:type="dxa" w:w="2492"/>
          </w:tcPr>
          <w:p>
            <w:pPr>
              <w:pStyle w:val="null3"/>
            </w:pPr>
            <w:r>
              <w:rPr>
                <w:rFonts w:ascii="仿宋_GB2312" w:hAnsi="仿宋_GB2312" w:cs="仿宋_GB2312" w:eastAsia="仿宋_GB2312"/>
              </w:rPr>
              <w:t>一、评审内容 针对本项目提供的产品质量保证及承诺至少包括： ①产品质量问题的处理方式和措施； ②产品质量保证承诺等。 二、评审标准 （评审内容每项2分）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7、产品质量保证及承诺.docx</w:t>
            </w:r>
          </w:p>
        </w:tc>
      </w:tr>
      <w:tr>
        <w:tc>
          <w:tcPr>
            <w:tcW w:type="dxa" w:w="831"/>
            <w:vMerge/>
          </w:tcPr>
          <w:p/>
        </w:tc>
        <w:tc>
          <w:tcPr>
            <w:tcW w:type="dxa" w:w="1661"/>
          </w:tcPr>
          <w:p>
            <w:pPr>
              <w:pStyle w:val="null3"/>
            </w:pPr>
            <w:r>
              <w:rPr>
                <w:rFonts w:ascii="仿宋_GB2312" w:hAnsi="仿宋_GB2312" w:cs="仿宋_GB2312" w:eastAsia="仿宋_GB2312"/>
              </w:rPr>
              <w:t>应急及售后服务方案</w:t>
            </w:r>
          </w:p>
        </w:tc>
        <w:tc>
          <w:tcPr>
            <w:tcW w:type="dxa" w:w="2492"/>
          </w:tcPr>
          <w:p>
            <w:pPr>
              <w:pStyle w:val="null3"/>
            </w:pPr>
            <w:r>
              <w:rPr>
                <w:rFonts w:ascii="仿宋_GB2312" w:hAnsi="仿宋_GB2312" w:cs="仿宋_GB2312" w:eastAsia="仿宋_GB2312"/>
              </w:rPr>
              <w:t>一、评审内容 针对本项目提供的应急及售后服务方案至少包括： ①应急处置方案； ②售后服务方案。 二、评审标准（评审内容每项2分） 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8、应急及售后服务方案.docx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供应商需提供2023年05月01日至今同类项目业绩（以合同签订日期为准），响应文件中提供合同复印件及验收单加盖供应商公章，每提供一个计1.8分，满分9分。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即满足磋商文件要求且价格最低的磋商报价为评标基准价，其价格分为满分。 其他供应商的价格分统一按照下列公式计算： 磋商报价得分=（评审基准价/最终报价）×价格权值（即30%）×100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详见附件：3、基本资格要求.docx</w:t>
      </w:r>
    </w:p>
    <w:p>
      <w:pPr>
        <w:pStyle w:val="null3"/>
        <w:ind w:firstLine="960"/>
      </w:pPr>
      <w:r>
        <w:rPr>
          <w:rFonts w:ascii="仿宋_GB2312" w:hAnsi="仿宋_GB2312" w:cs="仿宋_GB2312" w:eastAsia="仿宋_GB2312"/>
        </w:rPr>
        <w:t>详见附件：4、特殊资格证明.docx</w:t>
      </w:r>
    </w:p>
    <w:p>
      <w:pPr>
        <w:pStyle w:val="null3"/>
        <w:ind w:firstLine="960"/>
      </w:pPr>
      <w:r>
        <w:rPr>
          <w:rFonts w:ascii="仿宋_GB2312" w:hAnsi="仿宋_GB2312" w:cs="仿宋_GB2312" w:eastAsia="仿宋_GB2312"/>
        </w:rPr>
        <w:t>详见附件：5、实施方案.docx</w:t>
      </w:r>
    </w:p>
    <w:p>
      <w:pPr>
        <w:pStyle w:val="null3"/>
        <w:ind w:firstLine="960"/>
      </w:pPr>
      <w:r>
        <w:rPr>
          <w:rFonts w:ascii="仿宋_GB2312" w:hAnsi="仿宋_GB2312" w:cs="仿宋_GB2312" w:eastAsia="仿宋_GB2312"/>
        </w:rPr>
        <w:t>详见附件：6、产品进货渠道.docx</w:t>
      </w:r>
    </w:p>
    <w:p>
      <w:pPr>
        <w:pStyle w:val="null3"/>
        <w:ind w:firstLine="960"/>
      </w:pPr>
      <w:r>
        <w:rPr>
          <w:rFonts w:ascii="仿宋_GB2312" w:hAnsi="仿宋_GB2312" w:cs="仿宋_GB2312" w:eastAsia="仿宋_GB2312"/>
        </w:rPr>
        <w:t>详见附件：7、产品质量保证及承诺.docx</w:t>
      </w:r>
    </w:p>
    <w:p>
      <w:pPr>
        <w:pStyle w:val="null3"/>
        <w:ind w:firstLine="960"/>
      </w:pPr>
      <w:r>
        <w:rPr>
          <w:rFonts w:ascii="仿宋_GB2312" w:hAnsi="仿宋_GB2312" w:cs="仿宋_GB2312" w:eastAsia="仿宋_GB2312"/>
        </w:rPr>
        <w:t>详见附件：8、应急及售后服务方案.docx</w:t>
      </w:r>
    </w:p>
    <w:p>
      <w:pPr>
        <w:pStyle w:val="null3"/>
        <w:ind w:firstLine="960"/>
      </w:pPr>
      <w:r>
        <w:rPr>
          <w:rFonts w:ascii="仿宋_GB2312" w:hAnsi="仿宋_GB2312" w:cs="仿宋_GB2312" w:eastAsia="仿宋_GB2312"/>
        </w:rPr>
        <w:t>详见附件：9、业绩.docx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详见附件：3、基本资格要求.docx</w:t>
      </w:r>
    </w:p>
    <w:p>
      <w:pPr>
        <w:pStyle w:val="null3"/>
        <w:ind w:firstLine="960"/>
      </w:pPr>
      <w:r>
        <w:rPr>
          <w:rFonts w:ascii="仿宋_GB2312" w:hAnsi="仿宋_GB2312" w:cs="仿宋_GB2312" w:eastAsia="仿宋_GB2312"/>
        </w:rPr>
        <w:t>详见附件：4、特殊资格证明.docx</w:t>
      </w:r>
    </w:p>
    <w:p>
      <w:pPr>
        <w:pStyle w:val="null3"/>
        <w:ind w:firstLine="960"/>
      </w:pPr>
      <w:r>
        <w:rPr>
          <w:rFonts w:ascii="仿宋_GB2312" w:hAnsi="仿宋_GB2312" w:cs="仿宋_GB2312" w:eastAsia="仿宋_GB2312"/>
        </w:rPr>
        <w:t>详见附件：5、实施方案.docx</w:t>
      </w:r>
    </w:p>
    <w:p>
      <w:pPr>
        <w:pStyle w:val="null3"/>
        <w:ind w:firstLine="960"/>
      </w:pPr>
      <w:r>
        <w:rPr>
          <w:rFonts w:ascii="仿宋_GB2312" w:hAnsi="仿宋_GB2312" w:cs="仿宋_GB2312" w:eastAsia="仿宋_GB2312"/>
        </w:rPr>
        <w:t>详见附件：6、产品进货渠道.docx</w:t>
      </w:r>
    </w:p>
    <w:p>
      <w:pPr>
        <w:pStyle w:val="null3"/>
        <w:ind w:firstLine="960"/>
      </w:pPr>
      <w:r>
        <w:rPr>
          <w:rFonts w:ascii="仿宋_GB2312" w:hAnsi="仿宋_GB2312" w:cs="仿宋_GB2312" w:eastAsia="仿宋_GB2312"/>
        </w:rPr>
        <w:t>详见附件：7、产品质量保证及承诺.docx</w:t>
      </w:r>
    </w:p>
    <w:p>
      <w:pPr>
        <w:pStyle w:val="null3"/>
        <w:ind w:firstLine="960"/>
      </w:pPr>
      <w:r>
        <w:rPr>
          <w:rFonts w:ascii="仿宋_GB2312" w:hAnsi="仿宋_GB2312" w:cs="仿宋_GB2312" w:eastAsia="仿宋_GB2312"/>
        </w:rPr>
        <w:t>详见附件：8、应急及售后服务方案.docx</w:t>
      </w:r>
    </w:p>
    <w:p>
      <w:pPr>
        <w:pStyle w:val="null3"/>
        <w:ind w:firstLine="960"/>
      </w:pPr>
      <w:r>
        <w:rPr>
          <w:rFonts w:ascii="仿宋_GB2312" w:hAnsi="仿宋_GB2312" w:cs="仿宋_GB2312" w:eastAsia="仿宋_GB2312"/>
        </w:rPr>
        <w:t>详见附件：9、业绩.docx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