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版本号：ZCSP-潼关县-2026-0006420260623001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2026年通村燃油客车采购项目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ZCSP-潼关县-2026-00064</w:t>
      </w:r>
      <w:r>
        <w:br/>
      </w:r>
      <w:r>
        <w:br/>
      </w:r>
      <w:r>
        <w:br/>
      </w:r>
    </w:p>
    <w:p>
      <w:pPr>
        <w:pStyle w:val="null3"/>
        <w:jc w:val="center"/>
        <w:outlineLvl w:val="2"/>
      </w:pPr>
      <w:r>
        <w:rPr>
          <w:rFonts w:ascii="仿宋_GB2312" w:hAnsi="仿宋_GB2312" w:cs="仿宋_GB2312" w:eastAsia="仿宋_GB2312"/>
          <w:sz w:val="28"/>
          <w:b/>
        </w:rPr>
        <w:t>潼关县交通运输局</w:t>
      </w:r>
    </w:p>
    <w:p>
      <w:pPr>
        <w:pStyle w:val="null3"/>
        <w:jc w:val="center"/>
        <w:outlineLvl w:val="2"/>
      </w:pPr>
      <w:r>
        <w:rPr>
          <w:rFonts w:ascii="仿宋_GB2312" w:hAnsi="仿宋_GB2312" w:cs="仿宋_GB2312" w:eastAsia="仿宋_GB2312"/>
          <w:sz w:val="28"/>
          <w:b/>
        </w:rPr>
        <w:t>潼关县政府采购中心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潼关县政府采购中心</w:t>
      </w:r>
      <w:r>
        <w:rPr>
          <w:rFonts w:ascii="仿宋_GB2312" w:hAnsi="仿宋_GB2312" w:cs="仿宋_GB2312" w:eastAsia="仿宋_GB2312"/>
        </w:rPr>
        <w:t>（以下简称“代理机构”）受</w:t>
      </w:r>
      <w:r>
        <w:rPr>
          <w:rFonts w:ascii="仿宋_GB2312" w:hAnsi="仿宋_GB2312" w:cs="仿宋_GB2312" w:eastAsia="仿宋_GB2312"/>
        </w:rPr>
        <w:t>潼关县交通运输局</w:t>
      </w:r>
      <w:r>
        <w:rPr>
          <w:rFonts w:ascii="仿宋_GB2312" w:hAnsi="仿宋_GB2312" w:cs="仿宋_GB2312" w:eastAsia="仿宋_GB2312"/>
        </w:rPr>
        <w:t>委托，拟对</w:t>
      </w:r>
      <w:r>
        <w:rPr>
          <w:rFonts w:ascii="仿宋_GB2312" w:hAnsi="仿宋_GB2312" w:cs="仿宋_GB2312" w:eastAsia="仿宋_GB2312"/>
        </w:rPr>
        <w:t>2026年通村燃油客车采购项目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ZCSP-潼关县-2026-00064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2026年通村燃油客车采购项目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因部分通村客⻋已达到报废条件，现采购10台19座通村燃油客⻋。</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1、法定代表授权书：法定代表人直接参加投标的提供法定代表人证明及其身份证；授权代表参与投标的提供法定代表人授权书（附法定代表人及授权代表身份证）；非法人单位参照执行。</w:t>
      </w:r>
    </w:p>
    <w:p>
      <w:pPr>
        <w:pStyle w:val="null3"/>
      </w:pPr>
      <w:r>
        <w:rPr>
          <w:rFonts w:ascii="仿宋_GB2312" w:hAnsi="仿宋_GB2312" w:cs="仿宋_GB2312" w:eastAsia="仿宋_GB2312"/>
        </w:rPr>
        <w:t>2、信用查询截图：投标单位不得为“信用中国”网站（www.creditchina.gov.cn）中列入失信被执行人和重大税收违法失信主体的投标单位，不得为中国政府采购网（www.ccgp.gov.cn）政府采购严重违法失信行为记录名单中被财政部门禁止参加政府采购活动的投标单位。</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潼关县交通运输局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潼关县和平路北段29号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白盼华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13892397363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潼关县政府采购中心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陕西省渭南市潼关县中心街西段财政局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王金琳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0913-3865339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18609239199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采购包1：2,646,000.00元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潼关县交通运输局</w:t>
      </w:r>
      <w:r>
        <w:rPr>
          <w:rFonts w:ascii="仿宋_GB2312" w:hAnsi="仿宋_GB2312" w:cs="仿宋_GB2312" w:eastAsia="仿宋_GB2312"/>
        </w:rPr>
        <w:t>和</w:t>
      </w:r>
      <w:r>
        <w:rPr>
          <w:rFonts w:ascii="仿宋_GB2312" w:hAnsi="仿宋_GB2312" w:cs="仿宋_GB2312" w:eastAsia="仿宋_GB2312"/>
        </w:rPr>
        <w:t>潼关县政府采购中心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潼关县交通运输局</w:t>
      </w:r>
      <w:r>
        <w:rPr>
          <w:rFonts w:ascii="仿宋_GB2312" w:hAnsi="仿宋_GB2312" w:cs="仿宋_GB2312" w:eastAsia="仿宋_GB2312"/>
        </w:rPr>
        <w:t>负责解释。除上述招标文件内容，其他内容由</w:t>
      </w:r>
      <w:r>
        <w:rPr>
          <w:rFonts w:ascii="仿宋_GB2312" w:hAnsi="仿宋_GB2312" w:cs="仿宋_GB2312" w:eastAsia="仿宋_GB2312"/>
        </w:rPr>
        <w:t>潼关县政府采购中心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潼关县交通运输局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潼关县政府采购中心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如有需要，另行约定。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1.中标人完成交货及培训工作后向采购人提交验收申请。 2.采购人收到验收申请后组织验收，验收时中标人应无条件予以配合并提供所供产品的检测报告，若中标人不配合或者未按合同要求提供货物服务的，采购人将拒绝验收。 3.验收依据：招标文件、投标文件、产品检测报告、合同文本、国内相应的标准、规范。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潼关县政府采购中心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潼关县政府采购中心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潼关县政府采购中心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联系人：王金琳</w:t>
      </w:r>
    </w:p>
    <w:p>
      <w:pPr>
        <w:pStyle w:val="null3"/>
      </w:pPr>
      <w:r>
        <w:rPr>
          <w:rFonts w:ascii="仿宋_GB2312" w:hAnsi="仿宋_GB2312" w:cs="仿宋_GB2312" w:eastAsia="仿宋_GB2312"/>
        </w:rPr>
        <w:t>联系电话：0913-3865339</w:t>
      </w:r>
    </w:p>
    <w:p>
      <w:pPr>
        <w:pStyle w:val="null3"/>
      </w:pPr>
      <w:r>
        <w:rPr>
          <w:rFonts w:ascii="仿宋_GB2312" w:hAnsi="仿宋_GB2312" w:cs="仿宋_GB2312" w:eastAsia="仿宋_GB2312"/>
        </w:rPr>
        <w:t>地址：陕西省渭南市潼关县中心街西段财政局</w:t>
      </w:r>
    </w:p>
    <w:p>
      <w:pPr>
        <w:pStyle w:val="null3"/>
      </w:pPr>
      <w:r>
        <w:rPr>
          <w:rFonts w:ascii="仿宋_GB2312" w:hAnsi="仿宋_GB2312" w:cs="仿宋_GB2312" w:eastAsia="仿宋_GB2312"/>
        </w:rPr>
        <w:t>邮编：714300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因部分通村客车已达到报废条件，现采购10台19座通村燃油客车。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2,646,000.00</w:t>
      </w:r>
    </w:p>
    <w:p>
      <w:pPr>
        <w:pStyle w:val="null3"/>
      </w:pPr>
      <w:r>
        <w:rPr>
          <w:rFonts w:ascii="仿宋_GB2312" w:hAnsi="仿宋_GB2312" w:cs="仿宋_GB2312" w:eastAsia="仿宋_GB2312"/>
        </w:rPr>
        <w:t>采购包最高限价（元）: 2,646,000.00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2026年通村燃油客车采购项目</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2,646,000.00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标的名称：2026年通村燃油客车采购项目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shd w:fill="FFFFFF" w:val="clear"/>
              </w:rPr>
              <w:t>一、采购内容</w:t>
            </w:r>
          </w:p>
          <w:tbl>
            <w:tblPr>
              <w:tblInd w:type="dxa" w:w="105"/>
              <w:tblBorders>
                <w:top w:val="none" w:color="000000" w:sz="4"/>
                <w:left w:val="none" w:color="000000" w:sz="4"/>
                <w:bottom w:val="none" w:color="000000" w:sz="4"/>
                <w:right w:val="none" w:color="000000" w:sz="4"/>
                <w:insideH w:val="none"/>
                <w:insideV w:val="none"/>
              </w:tblBorders>
            </w:tblPr>
            <w:tblGrid>
              <w:gridCol w:w="527"/>
              <w:gridCol w:w="2673"/>
              <w:gridCol w:w="1008"/>
              <w:gridCol w:w="888"/>
            </w:tblGrid>
            <w:tr>
              <w:tc>
                <w:tcPr>
                  <w:tcW w:type="dxa" w:w="527"/>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rPr>
                    <w:t>序号</w:t>
                  </w:r>
                </w:p>
              </w:tc>
              <w:tc>
                <w:tcPr>
                  <w:tcW w:type="dxa" w:w="2673"/>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产品名称</w:t>
                  </w:r>
                </w:p>
              </w:tc>
              <w:tc>
                <w:tcPr>
                  <w:tcW w:type="dxa" w:w="1008"/>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rPr>
                    <w:t>数量</w:t>
                  </w:r>
                </w:p>
              </w:tc>
              <w:tc>
                <w:tcPr>
                  <w:tcW w:type="dxa" w:w="888"/>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rPr>
                    <w:t>单位</w:t>
                  </w:r>
                </w:p>
              </w:tc>
            </w:tr>
            <w:tr>
              <w:tc>
                <w:tcPr>
                  <w:tcW w:type="dxa" w:w="52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26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燃油客车（核心产品）</w:t>
                  </w:r>
                </w:p>
              </w:tc>
              <w:tc>
                <w:tcPr>
                  <w:tcW w:type="dxa" w:w="1008"/>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0</w:t>
                  </w:r>
                </w:p>
              </w:tc>
              <w:tc>
                <w:tcPr>
                  <w:tcW w:type="dxa" w:w="888"/>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rPr>
                    <w:t>台</w:t>
                  </w:r>
                </w:p>
              </w:tc>
            </w:tr>
          </w:tbl>
          <w:p>
            <w:pPr>
              <w:pStyle w:val="null3"/>
            </w:pPr>
            <w:r>
              <w:rPr>
                <w:rFonts w:ascii="仿宋_GB2312" w:hAnsi="仿宋_GB2312" w:cs="仿宋_GB2312" w:eastAsia="仿宋_GB2312"/>
                <w:b/>
              </w:rPr>
              <w:t xml:space="preserve"> </w:t>
            </w:r>
            <w:r>
              <w:rPr>
                <w:rFonts w:ascii="仿宋_GB2312" w:hAnsi="仿宋_GB2312" w:cs="仿宋_GB2312" w:eastAsia="仿宋_GB2312"/>
                <w:sz w:val="21"/>
                <w:b/>
              </w:rPr>
              <w:t>二、总体要求</w:t>
            </w:r>
          </w:p>
          <w:tbl>
            <w:tblPr>
              <w:tblInd w:type="dxa" w:w="105"/>
              <w:tblBorders>
                <w:top w:val="none" w:color="000000" w:sz="4"/>
                <w:left w:val="none" w:color="000000" w:sz="4"/>
                <w:bottom w:val="none" w:color="000000" w:sz="4"/>
                <w:right w:val="none" w:color="000000" w:sz="4"/>
                <w:insideH w:val="none"/>
                <w:insideV w:val="none"/>
              </w:tblBorders>
            </w:tblPr>
            <w:tblGrid>
              <w:gridCol w:w="536"/>
              <w:gridCol w:w="1123"/>
              <w:gridCol w:w="3441"/>
            </w:tblGrid>
            <w:tr>
              <w:tc>
                <w:tcPr>
                  <w:tcW w:type="dxa" w:w="536"/>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rPr>
                    <w:t>序号</w:t>
                  </w:r>
                </w:p>
              </w:tc>
              <w:tc>
                <w:tcPr>
                  <w:tcW w:type="dxa" w:w="1123"/>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产品名称</w:t>
                  </w:r>
                </w:p>
              </w:tc>
              <w:tc>
                <w:tcPr>
                  <w:tcW w:type="dxa" w:w="3441"/>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rPr>
                    <w:t>具体要求</w:t>
                  </w:r>
                </w:p>
              </w:tc>
            </w:tr>
            <w:tr>
              <w:tc>
                <w:tcPr>
                  <w:tcW w:type="dxa" w:w="536"/>
                  <w:tcBorders>
                    <w:top w:val="none" w:color="000000" w:sz="4"/>
                    <w:left w:val="single" w:color="000000" w:sz="4"/>
                    <w:bottom w:val="non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1123"/>
                  <w:tcBorders>
                    <w:top w:val="none" w:color="000000" w:sz="4"/>
                    <w:left w:val="none" w:color="000000" w:sz="4"/>
                    <w:bottom w:val="non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rPr>
                    <w:t>总体要求</w:t>
                  </w:r>
                </w:p>
              </w:tc>
              <w:tc>
                <w:tcPr>
                  <w:tcW w:type="dxa" w:w="3441"/>
                  <w:tcBorders>
                    <w:top w:val="none" w:color="000000" w:sz="4"/>
                    <w:left w:val="none" w:color="000000" w:sz="4"/>
                    <w:bottom w:val="non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rPr>
                    <w:t>所投车型须为全新原厂车辆，已列入工业和信息化部《道路机动车辆生产企业及产品公告》，通过国家强制性产品认证（</w:t>
                  </w:r>
                  <w:r>
                    <w:rPr>
                      <w:rFonts w:ascii="仿宋_GB2312" w:hAnsi="仿宋_GB2312" w:cs="仿宋_GB2312" w:eastAsia="仿宋_GB2312"/>
                      <w:sz w:val="21"/>
                    </w:rPr>
                    <w:t>3C），完全符合国家机动车安全标准及道路旅客运输营运相关要求；投标时须提供工信部车辆公告截图、3C 认证证书（或有效证明材料）；符合交通运输行业标准 JT/T 325-2018《营运客车类型划分及等级评定》规定的高一级及以上</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三、技术要求</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964"/>
              <w:gridCol w:w="3141"/>
            </w:tblGrid>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产品名称</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具体要求</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乘客座椅</w:t>
                  </w:r>
                  <w:r>
                    <w:rPr>
                      <w:rFonts w:ascii="仿宋_GB2312" w:hAnsi="仿宋_GB2312" w:cs="仿宋_GB2312" w:eastAsia="仿宋_GB2312"/>
                      <w:sz w:val="21"/>
                      <w:b/>
                    </w:rPr>
                    <w:t>+司机椅数量</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18+1座</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外形尺寸</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5500mm≤车长≤6000mm；2200mm≤车宽≤2240mm；2750mm≤车高≤3010mm</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发动机</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柴油，国</w:t>
                  </w:r>
                  <w:r>
                    <w:rPr>
                      <w:rFonts w:ascii="仿宋_GB2312" w:hAnsi="仿宋_GB2312" w:cs="仿宋_GB2312" w:eastAsia="仿宋_GB2312"/>
                      <w:sz w:val="21"/>
                    </w:rPr>
                    <w:t>VI排放标准，额定功率≥125kW</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变速器</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手动六档变速箱</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轴距</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3000mm≤</w:t>
                  </w:r>
                  <w:r>
                    <w:rPr>
                      <w:rFonts w:ascii="仿宋_GB2312" w:hAnsi="仿宋_GB2312" w:cs="仿宋_GB2312" w:eastAsia="仿宋_GB2312"/>
                      <w:sz w:val="21"/>
                    </w:rPr>
                    <w:t>轴距</w:t>
                  </w: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00mm</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轴荷</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轴荷分配合理，满足车辆满载时的承载要求</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悬架系统</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前独立悬架，</w:t>
                  </w:r>
                  <w:r>
                    <w:rPr>
                      <w:rFonts w:ascii="仿宋_GB2312" w:hAnsi="仿宋_GB2312" w:cs="仿宋_GB2312" w:eastAsia="仿宋_GB2312"/>
                      <w:sz w:val="21"/>
                    </w:rPr>
                    <w:t>后悬架采用钢板弹簧或复合悬架（钢板</w:t>
                  </w:r>
                  <w:r>
                    <w:rPr>
                      <w:rFonts w:ascii="仿宋_GB2312" w:hAnsi="仿宋_GB2312" w:cs="仿宋_GB2312" w:eastAsia="仿宋_GB2312"/>
                      <w:sz w:val="21"/>
                    </w:rPr>
                    <w:t>+ 空气）</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接近离去角</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满足山区</w:t>
                  </w:r>
                  <w:r>
                    <w:rPr>
                      <w:rFonts w:ascii="仿宋_GB2312" w:hAnsi="仿宋_GB2312" w:cs="仿宋_GB2312" w:eastAsia="仿宋_GB2312"/>
                      <w:sz w:val="21"/>
                    </w:rPr>
                    <w:t>/ 复杂路况通过性</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前悬后悬</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前悬</w:t>
                  </w:r>
                  <w:r>
                    <w:rPr>
                      <w:rFonts w:ascii="仿宋_GB2312" w:hAnsi="仿宋_GB2312" w:cs="仿宋_GB2312" w:eastAsia="仿宋_GB2312"/>
                      <w:sz w:val="21"/>
                    </w:rPr>
                    <w:t>≥1190mm，后悬≤1680mm</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制动</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前盘后盘制动；配备</w:t>
                  </w:r>
                  <w:r>
                    <w:rPr>
                      <w:rFonts w:ascii="仿宋_GB2312" w:hAnsi="仿宋_GB2312" w:cs="仿宋_GB2312" w:eastAsia="仿宋_GB2312"/>
                      <w:sz w:val="21"/>
                    </w:rPr>
                    <w:t>ESC电子稳定控制系统；自动紧急制动系统:AEBS,电子手刹</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轮胎</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真空轮胎</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油箱容积</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油箱容积满足单次运营续航里程要求，具体不低于</w:t>
                  </w:r>
                  <w:r>
                    <w:rPr>
                      <w:rFonts w:ascii="仿宋_GB2312" w:hAnsi="仿宋_GB2312" w:cs="仿宋_GB2312" w:eastAsia="仿宋_GB2312"/>
                      <w:sz w:val="21"/>
                    </w:rPr>
                    <w:t>80L</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空调及暖风</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独立内置空调，制冷量满足满载乘员降温需求，不低于</w:t>
                  </w:r>
                  <w:r>
                    <w:rPr>
                      <w:rFonts w:ascii="仿宋_GB2312" w:hAnsi="仿宋_GB2312" w:cs="仿宋_GB2312" w:eastAsia="仿宋_GB2312"/>
                      <w:sz w:val="21"/>
                    </w:rPr>
                    <w:t>13000 大卡</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除霜器配置</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大功率水暖除霜器</w:t>
                  </w:r>
                  <w:r>
                    <w:rPr>
                      <w:rFonts w:ascii="仿宋_GB2312" w:hAnsi="仿宋_GB2312" w:cs="仿宋_GB2312" w:eastAsia="仿宋_GB2312"/>
                      <w:sz w:val="21"/>
                    </w:rPr>
                    <w:t>(内、外进风)</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玻璃配置</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前挡风玻璃为夹胶玻璃，后风窗采用钢化玻璃，后风挡满足应急出口要求，并配备自动破窗器；侧窗，主副驾驶及末排为内嵌式推拉窗，其余全封闭单层玻璃；配备窗帘。</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轮辋</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铝合金轮辋</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随车工具</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有随车工具</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胎压报警器</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有胎压报警器（仅限单胎轴轮胎）</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车辆限速</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有发动机</w:t>
                  </w:r>
                  <w:r>
                    <w:rPr>
                      <w:rFonts w:ascii="仿宋_GB2312" w:hAnsi="仿宋_GB2312" w:cs="仿宋_GB2312" w:eastAsia="仿宋_GB2312"/>
                      <w:sz w:val="21"/>
                    </w:rPr>
                    <w:t>ECU限速（100km／h，有超速报警功能）</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地板革</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仿木纹地板革</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行李架配置</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左侧单边内行李架</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司机门</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有司机门</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后备舱配置</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大后备舱体</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后舱门状态</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后舱门为上移式</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遮阳帘</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前风挡配备遮阳装置</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顶风窗配置</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1个带换气扇顶风窗</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灭火弹</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装</w:t>
                  </w:r>
                  <w:r>
                    <w:rPr>
                      <w:rFonts w:ascii="仿宋_GB2312" w:hAnsi="仿宋_GB2312" w:cs="仿宋_GB2312" w:eastAsia="仿宋_GB2312"/>
                      <w:sz w:val="21"/>
                    </w:rPr>
                    <w:t>2个自动灭火弹（发动机仓）</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安全锤</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不少于</w:t>
                  </w:r>
                  <w:r>
                    <w:rPr>
                      <w:rFonts w:ascii="仿宋_GB2312" w:hAnsi="仿宋_GB2312" w:cs="仿宋_GB2312" w:eastAsia="仿宋_GB2312"/>
                      <w:sz w:val="21"/>
                    </w:rPr>
                    <w:t>4把防盗警报安全锤（其中司机处1把）</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乘客门配置</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外摆门</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后尾灯</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整体式后尾灯</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雨刮及大灯控制方式</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雨刮手动控制、大灯智能控制</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发动机燃油加热系统</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有发动机燃油加热系统</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座椅材质</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PVC仿皮材质</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乘客椅安全带</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全车三点式安全带</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侧扶手</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有座椅侧扶手</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车内灯光配置</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双条</w:t>
                  </w:r>
                  <w:r>
                    <w:rPr>
                      <w:rFonts w:ascii="仿宋_GB2312" w:hAnsi="仿宋_GB2312" w:cs="仿宋_GB2312" w:eastAsia="仿宋_GB2312"/>
                      <w:sz w:val="21"/>
                    </w:rPr>
                    <w:t>LED长条灯</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前门电视</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固定数字高清液晶显示器</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驻车辅助系统</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配备倒车影像及雷达辅助系统</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USB手机充电器接口</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整车（驾驶区</w:t>
                  </w:r>
                  <w:r>
                    <w:rPr>
                      <w:rFonts w:ascii="仿宋_GB2312" w:hAnsi="仿宋_GB2312" w:cs="仿宋_GB2312" w:eastAsia="仿宋_GB2312"/>
                      <w:sz w:val="21"/>
                    </w:rPr>
                    <w:t>+乘客区）有USB手机充电器接口</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集成中控</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配备多媒体显示屏，具备影音播放功能</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播放系统</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高清播放器</w:t>
                  </w:r>
                  <w:r>
                    <w:rPr>
                      <w:rFonts w:ascii="仿宋_GB2312" w:hAnsi="仿宋_GB2312" w:cs="仿宋_GB2312" w:eastAsia="仿宋_GB2312"/>
                      <w:sz w:val="21"/>
                    </w:rPr>
                    <w:t>+有线话筒</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蓄电池</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2只，≥120Ah蓄电池</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车载行车记录仪系统</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符合甲方属地行业部门要求的车载卫星定位终端、</w:t>
                  </w:r>
                  <w:r>
                    <w:rPr>
                      <w:rFonts w:ascii="仿宋_GB2312" w:hAnsi="仿宋_GB2312" w:cs="仿宋_GB2312" w:eastAsia="仿宋_GB2312"/>
                      <w:sz w:val="21"/>
                    </w:rPr>
                    <w:t>4G 视频设备，行车记 录仪 5 个探头所拍摄的实时画面须在显示器上同步</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阻燃等级</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内饰符合国家要求的营运车阻燃等级</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安全带未系报警</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有安全带未系报警功能</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整车启动方式</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一键启动</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仪表</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7英寸液晶仪表盘</w:t>
                  </w:r>
                </w:p>
              </w:tc>
            </w:tr>
            <w:tr>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车辆面漆及图案</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金属漆，车身颜色、图案、标识由甲方选择确认</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自合同签订之日起40个日历天内交车</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采购人指定地点（潼关县汽车客运站）</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进度款，车辆交付初验合格后，达到付款条件起10个工作日内，支付合同总金额的55.0%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其他，终验合格后无质量争议，达到付款条件起10个工作日内，支付合同总金额的5.0%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1.中标人完成交货及培训工作后向采购人提交验收申请。 2.采购人收到验收申请后组织验收，验收时中标人应无条件予以配合并提供所供产品的检测报告，若中标人不配合或者未按合同要求提供货物服务的，采购人将拒绝验收。 3.验收依据：招标文件、投标文件、产品检测报告、合同文本、国内相应的标准、规范。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整车2年或16万公里，以先到为准。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向项目所在地人民法院起诉。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负责办理将货物或服务运抵交货服务地点的一切事项，并完成与合同履约相关的工作。凡涉及的包装、运输、安装调试、培训、税金、售后服务、验收等，所有费用一次性计入投标总价。合同履约过程中采购人不再支付其他额外费用。 2.售后响应时间： 接到采购人售后要求后，2小时内远程响应，12小时内给出解决方案，若远程无法解决问题48小时内安排专人到达现场处理。 3.技术培训要求： 1）培训地点：采购人指定地点；2）培训对象：采购人指定的技术人员及管理人员；3）培训时间：交货完成后；4）培训内容：设备的操作原理、操作维护方法、排除故障等各个方面；5）培训目的：熟练操作设备、能够排除一般故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2）具有履行合同所必需的设备和专业技术能力（提供承诺函）；3）有依法缴纳税收和社会保障资金的良好记录：税收缴纳证明：提供投标文件提交截止时间前十二个月内任意一月已缴纳的纳税证明或完税证明（包含增值税、企业所得税至少一种），依法免税或不需要缴纳税收的供应商应提供相关证明文件；社保缴纳证明：提供投标文件提交截止时间前十二个月内任意一月已缴存的社会保障资金缴费证明或参保证明，依法不需要缴纳社会保障资金的供应商应提供相关证明文件；4）参加政府采购活动前三年内，在经营活动中没有重大违法记录（提供书面声明）；5）法律、行政法规规定的其他条件（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审计报告须具有注册会计师行业统一监管平台赋予的验证码）或投标文件提交截止时间前六个月内基本存款账户开户银行出具的资信证明或政府采购信用担保机构出具的投标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投标人需在项目电子化交易系统中按要求提供承诺函并进行电子签章。</w:t>
            </w:r>
          </w:p>
        </w:tc>
        <w:tc>
          <w:tcPr>
            <w:tcW w:type="dxa" w:w="1661"/>
          </w:tcPr>
          <w:p>
            <w:pPr>
              <w:pStyle w:val="null3"/>
            </w:pPr>
            <w:r>
              <w:rPr>
                <w:rFonts w:ascii="仿宋_GB2312" w:hAnsi="仿宋_GB2312" w:cs="仿宋_GB2312" w:eastAsia="仿宋_GB2312"/>
              </w:rPr>
              <w:t>投标函 投标文件（格式）</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法定代表人直接参加投标的提供法定代表人证明及其身份证；授权代表参与投标的提供法定代表人授权书（附法定代表人及授权代表身份证）；非法人单位参照执行。</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投标单位不得为“信用中国”网站（www.creditchina.gov.cn）中列入失信被执行人和重大税收违法失信主体的投标单位，不得为中国政府采购网（www.ccgp.gov.cn）政府采购严重违法失信行为记录名单中被财政部门禁止参加政府采购活动的投标单位。</w:t>
            </w:r>
          </w:p>
        </w:tc>
        <w:tc>
          <w:tcPr>
            <w:tcW w:type="dxa" w:w="1661"/>
          </w:tcPr>
          <w:p>
            <w:pPr>
              <w:pStyle w:val="null3"/>
            </w:pPr>
            <w:r>
              <w:rPr>
                <w:rFonts w:ascii="仿宋_GB2312" w:hAnsi="仿宋_GB2312" w:cs="仿宋_GB2312" w:eastAsia="仿宋_GB2312"/>
              </w:rPr>
              <w:t>投标文件（格式）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投标报价未超过采购预算或已设置的最高限价，且投标人每种货物及服务内容只允许有一个报价。</w:t>
            </w:r>
          </w:p>
        </w:tc>
        <w:tc>
          <w:tcPr>
            <w:tcW w:type="dxa" w:w="1661"/>
          </w:tcPr>
          <w:p>
            <w:pPr>
              <w:pStyle w:val="null3"/>
            </w:pPr>
            <w:r>
              <w:rPr>
                <w:rFonts w:ascii="仿宋_GB2312" w:hAnsi="仿宋_GB2312" w:cs="仿宋_GB2312" w:eastAsia="仿宋_GB2312"/>
              </w:rPr>
              <w:t>开标一览表 投标文件（格式）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投标方案</w:t>
            </w:r>
          </w:p>
        </w:tc>
        <w:tc>
          <w:tcPr>
            <w:tcW w:type="dxa" w:w="3322"/>
          </w:tcPr>
          <w:p>
            <w:pPr>
              <w:pStyle w:val="null3"/>
            </w:pPr>
            <w:r>
              <w:rPr>
                <w:rFonts w:ascii="仿宋_GB2312" w:hAnsi="仿宋_GB2312" w:cs="仿宋_GB2312" w:eastAsia="仿宋_GB2312"/>
              </w:rPr>
              <w:t>投标方案唯一，不接受备选方案，每种货物及服务只能投标一个品牌及方案。</w:t>
            </w:r>
          </w:p>
        </w:tc>
        <w:tc>
          <w:tcPr>
            <w:tcW w:type="dxa" w:w="1661"/>
          </w:tcPr>
          <w:p>
            <w:pPr>
              <w:pStyle w:val="null3"/>
            </w:pPr>
            <w:r>
              <w:rPr>
                <w:rFonts w:ascii="仿宋_GB2312" w:hAnsi="仿宋_GB2312" w:cs="仿宋_GB2312" w:eastAsia="仿宋_GB2312"/>
              </w:rPr>
              <w:t>投标文件封面 投标文件（格式）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按招标文件要求编制投标文件，满足第二章实质性要求条款。</w:t>
            </w:r>
          </w:p>
        </w:tc>
        <w:tc>
          <w:tcPr>
            <w:tcW w:type="dxa" w:w="1661"/>
          </w:tcPr>
          <w:p>
            <w:pPr>
              <w:pStyle w:val="null3"/>
            </w:pPr>
            <w:r>
              <w:rPr>
                <w:rFonts w:ascii="仿宋_GB2312" w:hAnsi="仿宋_GB2312" w:cs="仿宋_GB2312" w:eastAsia="仿宋_GB2312"/>
              </w:rPr>
              <w:t>投标文件封面 投标文件（格式）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投标文件（格式）</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指标完全满足招标文件第三章“▲”项要求无负偏离的计14分，投标产品中每负偏离一项指标或缺失一项指标扣1分，扣完为止，不计负分，正偏离不加分。（以技术响应偏离表为准，投标人提供虚假响应将承担法律责任，在技术响应偏离表“备注”栏中标明证明材料的页码，未提供证明材料视为负偏离。备注：证明材料包含但不限于技术白皮书、官网功能截图、产品彩页、产品技术说明、相关检测报告等资料任意一种。）</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需求编制实施方案：包含①供货方案；②进度计划措施；③人员配备；④车辆调试方案；⑤质量保证措施及应急预案。以上内容专门针对本项目且阐述明晰、全面、合理得20分，每缺一项内容扣4分，若上述内容存在瑕疵，每存在一处瑕疵扣1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所投产品为原厂正品、全新原装，无假冒伪劣产品情况，供货渠道规范可查，提供产品正规来源渠道合法的证明文件（包括但不限于产品制造商授权/销售协议/代理协议。以上资料提供任意一项得2分，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防腐工艺体系</w:t>
            </w:r>
          </w:p>
        </w:tc>
        <w:tc>
          <w:tcPr>
            <w:tcW w:type="dxa" w:w="2492"/>
          </w:tcPr>
          <w:p>
            <w:pPr>
              <w:pStyle w:val="null3"/>
            </w:pPr>
            <w:r>
              <w:rPr>
                <w:rFonts w:ascii="仿宋_GB2312" w:hAnsi="仿宋_GB2312" w:cs="仿宋_GB2312" w:eastAsia="仿宋_GB2312"/>
              </w:rPr>
              <w:t>根据车辆整车防腐工艺体系先进性综合评审： ①采用整车完整阴极电泳防腐工艺，配套完整磷化、密封、面漆防腐体系，提供生产线相关佐证材料得8分； ②采用散件阴极电泳+整车多层防腐喷涂复合工艺，防腐体系完整，得5分； ③采用普通喷涂等常规简易防腐工艺，得2分。 证明材料：整车防腐性能第三方检测报告、设备采购合同、发票等能证明上述防腐的工艺任意一类加盖公章即可。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制造工艺技术</w:t>
            </w:r>
          </w:p>
        </w:tc>
        <w:tc>
          <w:tcPr>
            <w:tcW w:type="dxa" w:w="2492"/>
          </w:tcPr>
          <w:p>
            <w:pPr>
              <w:pStyle w:val="null3"/>
            </w:pPr>
            <w:r>
              <w:rPr>
                <w:rFonts w:ascii="仿宋_GB2312" w:hAnsi="仿宋_GB2312" w:cs="仿宋_GB2312" w:eastAsia="仿宋_GB2312"/>
              </w:rPr>
              <w:t>依据制造商整车自动化制造工艺先进性打分，每具备以下任意一类自动化生产技术得2分，满分12分： ①自动化机器人焊接②自动化机器人喷涂③数控激光切割④自动化地板粘接工艺⑤全自动数控冲压/折弯⑥智能总成装配机器人。 证明材料：可提供设备采购合同、发票等能证明上述工艺的任意一类加盖公章即可。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车身安全结构</w:t>
            </w:r>
          </w:p>
        </w:tc>
        <w:tc>
          <w:tcPr>
            <w:tcW w:type="dxa" w:w="2492"/>
          </w:tcPr>
          <w:p>
            <w:pPr>
              <w:pStyle w:val="null3"/>
            </w:pPr>
            <w:r>
              <w:rPr>
                <w:rFonts w:ascii="仿宋_GB2312" w:hAnsi="仿宋_GB2312" w:cs="仿宋_GB2312" w:eastAsia="仿宋_GB2312"/>
              </w:rPr>
              <w:t>依据制造商车身安全制造工艺综合打分： ①采用半承载车身，局部高强钢应用，得3分；②采用普通非承载车身结构，得1分。 证明材料：车身强度第三方检测报告、钢材采购合同、车身工艺图纸等能证明上述工艺的资料任意一类加盖公章即可。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整车智能检测流水线</w:t>
            </w:r>
          </w:p>
        </w:tc>
        <w:tc>
          <w:tcPr>
            <w:tcW w:type="dxa" w:w="2492"/>
          </w:tcPr>
          <w:p>
            <w:pPr>
              <w:pStyle w:val="null3"/>
            </w:pPr>
            <w:r>
              <w:rPr>
                <w:rFonts w:ascii="仿宋_GB2312" w:hAnsi="仿宋_GB2312" w:cs="仿宋_GB2312" w:eastAsia="仿宋_GB2312"/>
              </w:rPr>
              <w:t>依据制造商整车下线自动化检测设备打分，每具备以下任意一类自动化检测技术得2分，满分8分： ①全自动淋雨检测线②自动化四轮定位检测③整车电气智能检测④底盘制动智能检测设备。 证明材料：设备采购合同、发票、生产线实拍资料等能证明上述技术的资料任意一类加盖公章即可。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提供2023年01月01日至今类似项目的合同，每提供一份业绩计1分，最高3分。注：（以合同签订时间为准，投标文件中附复印件或扫描件并加盖公章）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30×（评标基准价/投标报价）价格分计算四舍五入，保留两位小数。满足落实政府采购相关政策的，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