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版本号：HHGJZC2026-CS39320260724001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乾县非农建设补充耕地指标核定工作</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HHGJZC2026-CS393</w:t>
      </w:r>
      <w:r>
        <w:br/>
      </w:r>
      <w:r>
        <w:br/>
      </w:r>
      <w:r>
        <w:br/>
      </w:r>
    </w:p>
    <w:p>
      <w:pPr>
        <w:pStyle w:val="null3"/>
        <w:jc w:val="center"/>
        <w:outlineLvl w:val="2"/>
      </w:pPr>
      <w:r>
        <w:rPr>
          <w:rFonts w:ascii="仿宋_GB2312" w:hAnsi="仿宋_GB2312" w:cs="仿宋_GB2312" w:eastAsia="仿宋_GB2312"/>
          <w:sz w:val="28"/>
          <w:b/>
        </w:rPr>
        <w:t>乾县自然资源局</w:t>
      </w:r>
    </w:p>
    <w:p>
      <w:pPr>
        <w:pStyle w:val="null3"/>
        <w:jc w:val="center"/>
        <w:outlineLvl w:val="2"/>
      </w:pPr>
      <w:r>
        <w:rPr>
          <w:rFonts w:ascii="仿宋_GB2312" w:hAnsi="仿宋_GB2312" w:cs="仿宋_GB2312" w:eastAsia="仿宋_GB2312"/>
          <w:sz w:val="28"/>
          <w:b/>
        </w:rPr>
        <w:t>陕西华海国际项目管理有限公司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陕西华海国际项目管理有限公司</w:t>
      </w:r>
      <w:r>
        <w:rPr>
          <w:rFonts w:ascii="仿宋_GB2312" w:hAnsi="仿宋_GB2312" w:cs="仿宋_GB2312" w:eastAsia="仿宋_GB2312"/>
        </w:rPr>
        <w:t>（以下简称“代理机构”）受</w:t>
      </w:r>
      <w:r>
        <w:rPr>
          <w:rFonts w:ascii="仿宋_GB2312" w:hAnsi="仿宋_GB2312" w:cs="仿宋_GB2312" w:eastAsia="仿宋_GB2312"/>
        </w:rPr>
        <w:t>乾县自然资源局</w:t>
      </w:r>
      <w:r>
        <w:rPr>
          <w:rFonts w:ascii="仿宋_GB2312" w:hAnsi="仿宋_GB2312" w:cs="仿宋_GB2312" w:eastAsia="仿宋_GB2312"/>
        </w:rPr>
        <w:t>委托，拟对</w:t>
      </w:r>
      <w:r>
        <w:rPr>
          <w:rFonts w:ascii="仿宋_GB2312" w:hAnsi="仿宋_GB2312" w:cs="仿宋_GB2312" w:eastAsia="仿宋_GB2312"/>
        </w:rPr>
        <w:t>乾县非农建设补充耕地指标核定工作</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HHGJZC2026-CS393</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乾县非农建设补充耕地指标核定工作</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补充耕地指标核定入库后，旨在未来三至五年内集体建设用地、设施农用地等类型建设项目占用耕地指标的补充来源，可为我县项目用地提供有力保障，解决我县补充耕地指标紧张问题。</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采购包1（乾县非农建设补充耕地指标核定工作）：属于专门面向中小企业采购。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或授权代表身份证明：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p>
      <w:pPr>
        <w:pStyle w:val="null3"/>
      </w:pPr>
      <w:r>
        <w:rPr>
          <w:rFonts w:ascii="仿宋_GB2312" w:hAnsi="仿宋_GB2312" w:cs="仿宋_GB2312" w:eastAsia="仿宋_GB2312"/>
        </w:rPr>
        <w:t>2、资质要求：供应商须具备行政主管部门颁发的测绘乙级及以上资质，资质专业范围包含【地理信息系统工程、摄影测量与遥感、地图编制、工程测量】；</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乾县自然资源局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乾县东环北路8号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董秦波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18089182999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陕西华海国际项目管理有限公司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西安市经济技术开发区明光路凤城五路FED创新中心B座312室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吕博延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18791915545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乾县政府采购管理股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吴翌真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13772572080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采购包1：1,695,420.10元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发的《招标代理服务收费管理暂行办法》（计价格[2002]1980号）和国家发展和改革委员会办公厅颁发的《关于招标代理服务收费有关问题的通知》（发改办价格[2003]857号）的有关规定执行。 代理服务费缴纳信息： 名称：陕西华海国际项目管理有限公司 开户银行：中信银行股份有限公司西安分行营业部 银行账户：8111701013100567082</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乾县自然资源局</w:t>
      </w:r>
      <w:r>
        <w:rPr>
          <w:rFonts w:ascii="仿宋_GB2312" w:hAnsi="仿宋_GB2312" w:cs="仿宋_GB2312" w:eastAsia="仿宋_GB2312"/>
        </w:rPr>
        <w:t>和</w:t>
      </w:r>
      <w:r>
        <w:rPr>
          <w:rFonts w:ascii="仿宋_GB2312" w:hAnsi="仿宋_GB2312" w:cs="仿宋_GB2312" w:eastAsia="仿宋_GB2312"/>
        </w:rPr>
        <w:t>陕西华海国际项目管理有限公司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乾县自然资源局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陕西华海国际项目管理有限公司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乾县自然资源局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陕西华海国际项目管理有限公司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陕西华海国际项目管理有限公司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联系人：吕博延</w:t>
      </w:r>
    </w:p>
    <w:p>
      <w:pPr>
        <w:pStyle w:val="null3"/>
      </w:pPr>
      <w:r>
        <w:rPr>
          <w:rFonts w:ascii="仿宋_GB2312" w:hAnsi="仿宋_GB2312" w:cs="仿宋_GB2312" w:eastAsia="仿宋_GB2312"/>
        </w:rPr>
        <w:t>联系电话：18791915545</w:t>
      </w:r>
    </w:p>
    <w:p>
      <w:pPr>
        <w:pStyle w:val="null3"/>
      </w:pPr>
      <w:r>
        <w:rPr>
          <w:rFonts w:ascii="仿宋_GB2312" w:hAnsi="仿宋_GB2312" w:cs="仿宋_GB2312" w:eastAsia="仿宋_GB2312"/>
        </w:rPr>
        <w:t>地址：西安市经济技术开发区明光路凤城五路FED创新中心B座312室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补充耕地指标核定入库后，旨在未来三至五年内集体建设用地、设施农用地等类型建设项目占用耕地指标的补充来源，可为我县项目用地提供有力保障，解决我县补充耕地指标紧张问题。</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1,695,420.10</w:t>
      </w:r>
    </w:p>
    <w:p>
      <w:pPr>
        <w:pStyle w:val="null3"/>
      </w:pPr>
      <w:r>
        <w:rPr>
          <w:rFonts w:ascii="仿宋_GB2312" w:hAnsi="仿宋_GB2312" w:cs="仿宋_GB2312" w:eastAsia="仿宋_GB2312"/>
        </w:rPr>
        <w:t>采购包最高限价（元）: 1,695,420.10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乾县非农建设补充耕地指标核定工作</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1,695,420.10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标的名称：乾县非农建设补充耕地指标核定工作</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ind w:firstLine="480"/>
              <w:jc w:val="both"/>
            </w:pPr>
            <w:r>
              <w:rPr>
                <w:rFonts w:ascii="仿宋_GB2312" w:hAnsi="仿宋_GB2312" w:cs="仿宋_GB2312" w:eastAsia="仿宋_GB2312"/>
                <w:sz w:val="24"/>
              </w:rPr>
              <w:t>根据《中共中央办公厅</w:t>
            </w:r>
            <w:r>
              <w:rPr>
                <w:rFonts w:ascii="仿宋_GB2312" w:hAnsi="仿宋_GB2312" w:cs="仿宋_GB2312" w:eastAsia="仿宋_GB2312"/>
                <w:sz w:val="24"/>
              </w:rPr>
              <w:t>国务院办公厅关于加强耕地保护提升耕地质量完善占补平衡的意见》（中办发（</w:t>
            </w:r>
            <w:r>
              <w:rPr>
                <w:rFonts w:ascii="仿宋_GB2312" w:hAnsi="仿宋_GB2312" w:cs="仿宋_GB2312" w:eastAsia="仿宋_GB2312"/>
                <w:sz w:val="24"/>
              </w:rPr>
              <w:t>2024</w:t>
            </w:r>
            <w:r>
              <w:rPr>
                <w:rFonts w:ascii="仿宋_GB2312" w:hAnsi="仿宋_GB2312" w:cs="仿宋_GB2312" w:eastAsia="仿宋_GB2312"/>
                <w:sz w:val="24"/>
              </w:rPr>
              <w:t>）</w:t>
            </w:r>
            <w:r>
              <w:rPr>
                <w:rFonts w:ascii="仿宋_GB2312" w:hAnsi="仿宋_GB2312" w:cs="仿宋_GB2312" w:eastAsia="仿宋_GB2312"/>
                <w:sz w:val="24"/>
              </w:rPr>
              <w:t>13</w:t>
            </w:r>
            <w:r>
              <w:rPr>
                <w:rFonts w:ascii="仿宋_GB2312" w:hAnsi="仿宋_GB2312" w:cs="仿宋_GB2312" w:eastAsia="仿宋_GB2312"/>
                <w:sz w:val="24"/>
              </w:rPr>
              <w:t>号）、《自然资源部农业农村部关于改革完善耕地占补平衡管理的通知》（自然资发（</w:t>
            </w:r>
            <w:r>
              <w:rPr>
                <w:rFonts w:ascii="仿宋_GB2312" w:hAnsi="仿宋_GB2312" w:cs="仿宋_GB2312" w:eastAsia="仿宋_GB2312"/>
                <w:sz w:val="24"/>
              </w:rPr>
              <w:t>2024</w:t>
            </w:r>
            <w:r>
              <w:rPr>
                <w:rFonts w:ascii="仿宋_GB2312" w:hAnsi="仿宋_GB2312" w:cs="仿宋_GB2312" w:eastAsia="仿宋_GB2312"/>
                <w:sz w:val="24"/>
              </w:rPr>
              <w:t>）</w:t>
            </w:r>
            <w:r>
              <w:rPr>
                <w:rFonts w:ascii="仿宋_GB2312" w:hAnsi="仿宋_GB2312" w:cs="仿宋_GB2312" w:eastAsia="仿宋_GB2312"/>
                <w:sz w:val="24"/>
              </w:rPr>
              <w:t>204</w:t>
            </w:r>
            <w:r>
              <w:rPr>
                <w:rFonts w:ascii="仿宋_GB2312" w:hAnsi="仿宋_GB2312" w:cs="仿宋_GB2312" w:eastAsia="仿宋_GB2312"/>
                <w:sz w:val="24"/>
              </w:rPr>
              <w:t>号）和《陕西省自然资源厅</w:t>
            </w:r>
            <w:r>
              <w:rPr>
                <w:rFonts w:ascii="仿宋_GB2312" w:hAnsi="仿宋_GB2312" w:cs="仿宋_GB2312" w:eastAsia="仿宋_GB2312"/>
                <w:sz w:val="24"/>
              </w:rPr>
              <w:t>陕西省农业农村厅关于开展</w:t>
            </w:r>
            <w:r>
              <w:rPr>
                <w:rFonts w:ascii="仿宋_GB2312" w:hAnsi="仿宋_GB2312" w:cs="仿宋_GB2312" w:eastAsia="仿宋_GB2312"/>
                <w:sz w:val="24"/>
              </w:rPr>
              <w:t>2024</w:t>
            </w:r>
            <w:r>
              <w:rPr>
                <w:rFonts w:ascii="仿宋_GB2312" w:hAnsi="仿宋_GB2312" w:cs="仿宋_GB2312" w:eastAsia="仿宋_GB2312"/>
                <w:sz w:val="24"/>
              </w:rPr>
              <w:t>年度非农建设补充耕地指标核定工作的通知》（陕自然资耕发（</w:t>
            </w:r>
            <w:r>
              <w:rPr>
                <w:rFonts w:ascii="仿宋_GB2312" w:hAnsi="仿宋_GB2312" w:cs="仿宋_GB2312" w:eastAsia="仿宋_GB2312"/>
                <w:sz w:val="24"/>
              </w:rPr>
              <w:t>2025</w:t>
            </w:r>
            <w:r>
              <w:rPr>
                <w:rFonts w:ascii="仿宋_GB2312" w:hAnsi="仿宋_GB2312" w:cs="仿宋_GB2312" w:eastAsia="仿宋_GB2312"/>
                <w:sz w:val="24"/>
              </w:rPr>
              <w:t>）</w:t>
            </w:r>
            <w:r>
              <w:rPr>
                <w:rFonts w:ascii="仿宋_GB2312" w:hAnsi="仿宋_GB2312" w:cs="仿宋_GB2312" w:eastAsia="仿宋_GB2312"/>
                <w:sz w:val="24"/>
              </w:rPr>
              <w:t>78</w:t>
            </w:r>
            <w:r>
              <w:rPr>
                <w:rFonts w:ascii="仿宋_GB2312" w:hAnsi="仿宋_GB2312" w:cs="仿宋_GB2312" w:eastAsia="仿宋_GB2312"/>
                <w:sz w:val="24"/>
              </w:rPr>
              <w:t>号）等文件精神，要求将各类实施主体开垦和恢复的耕地，依法依规纳入耕地占补平衡管理，为区域高质量发展提供要素保障。</w:t>
            </w:r>
          </w:p>
          <w:p>
            <w:pPr>
              <w:pStyle w:val="null3"/>
              <w:spacing w:before="105" w:after="105"/>
              <w:jc w:val="both"/>
            </w:pPr>
            <w:r>
              <w:rPr>
                <w:rFonts w:ascii="仿宋_GB2312" w:hAnsi="仿宋_GB2312" w:cs="仿宋_GB2312" w:eastAsia="仿宋_GB2312"/>
                <w:sz w:val="24"/>
                <w:b/>
              </w:rPr>
              <w:t>一、工作目标</w:t>
            </w:r>
          </w:p>
          <w:p>
            <w:pPr>
              <w:pStyle w:val="null3"/>
              <w:spacing w:before="105" w:after="105"/>
              <w:ind w:firstLine="480"/>
              <w:jc w:val="both"/>
            </w:pPr>
            <w:r>
              <w:rPr>
                <w:rFonts w:ascii="仿宋_GB2312" w:hAnsi="仿宋_GB2312" w:cs="仿宋_GB2312" w:eastAsia="仿宋_GB2312"/>
                <w:sz w:val="24"/>
              </w:rPr>
              <w:t>在符合国土空间规划和生态环境保护的前提下，以</w:t>
            </w:r>
            <w:r>
              <w:rPr>
                <w:rFonts w:ascii="仿宋_GB2312" w:hAnsi="仿宋_GB2312" w:cs="仿宋_GB2312" w:eastAsia="仿宋_GB2312"/>
                <w:sz w:val="24"/>
              </w:rPr>
              <w:t>“三调”及年度国土变更调查成果为统一底版，将地方政府、工商企业等主题通过实施土地综合整治、高标准农田建设、耕地质量提升、耕地整改恢复以及农村集体经济组织、农民等主体通过依法依规自主开垦恢复的耕地，按照全县规模上限不超过</w:t>
            </w:r>
            <w:r>
              <w:rPr>
                <w:rFonts w:ascii="仿宋_GB2312" w:hAnsi="仿宋_GB2312" w:cs="仿宋_GB2312" w:eastAsia="仿宋_GB2312"/>
                <w:sz w:val="24"/>
              </w:rPr>
              <w:t>7000</w:t>
            </w:r>
            <w:r>
              <w:rPr>
                <w:rFonts w:ascii="仿宋_GB2312" w:hAnsi="仿宋_GB2312" w:cs="仿宋_GB2312" w:eastAsia="仿宋_GB2312"/>
                <w:sz w:val="24"/>
              </w:rPr>
              <w:t>亩（其中</w:t>
            </w:r>
            <w:r>
              <w:rPr>
                <w:rFonts w:ascii="仿宋_GB2312" w:hAnsi="仿宋_GB2312" w:cs="仿宋_GB2312" w:eastAsia="仿宋_GB2312"/>
                <w:sz w:val="24"/>
              </w:rPr>
              <w:t>A</w:t>
            </w:r>
            <w:r>
              <w:rPr>
                <w:rFonts w:ascii="仿宋_GB2312" w:hAnsi="仿宋_GB2312" w:cs="仿宋_GB2312" w:eastAsia="仿宋_GB2312"/>
                <w:sz w:val="24"/>
              </w:rPr>
              <w:t>库约</w:t>
            </w:r>
            <w:r>
              <w:rPr>
                <w:rFonts w:ascii="仿宋_GB2312" w:hAnsi="仿宋_GB2312" w:cs="仿宋_GB2312" w:eastAsia="仿宋_GB2312"/>
                <w:sz w:val="24"/>
              </w:rPr>
              <w:t>3000</w:t>
            </w:r>
            <w:r>
              <w:rPr>
                <w:rFonts w:ascii="仿宋_GB2312" w:hAnsi="仿宋_GB2312" w:cs="仿宋_GB2312" w:eastAsia="仿宋_GB2312"/>
                <w:sz w:val="24"/>
              </w:rPr>
              <w:t>亩，</w:t>
            </w:r>
            <w:r>
              <w:rPr>
                <w:rFonts w:ascii="仿宋_GB2312" w:hAnsi="仿宋_GB2312" w:cs="仿宋_GB2312" w:eastAsia="仿宋_GB2312"/>
                <w:sz w:val="24"/>
              </w:rPr>
              <w:t>B</w:t>
            </w:r>
            <w:r>
              <w:rPr>
                <w:rFonts w:ascii="仿宋_GB2312" w:hAnsi="仿宋_GB2312" w:cs="仿宋_GB2312" w:eastAsia="仿宋_GB2312"/>
                <w:sz w:val="24"/>
              </w:rPr>
              <w:t>库约</w:t>
            </w:r>
            <w:r>
              <w:rPr>
                <w:rFonts w:ascii="仿宋_GB2312" w:hAnsi="仿宋_GB2312" w:cs="仿宋_GB2312" w:eastAsia="仿宋_GB2312"/>
                <w:sz w:val="24"/>
              </w:rPr>
              <w:t>4000</w:t>
            </w:r>
            <w:r>
              <w:rPr>
                <w:rFonts w:ascii="仿宋_GB2312" w:hAnsi="仿宋_GB2312" w:cs="仿宋_GB2312" w:eastAsia="仿宋_GB2312"/>
                <w:sz w:val="24"/>
              </w:rPr>
              <w:t>亩），每批次规模不超过</w:t>
            </w:r>
            <w:r>
              <w:rPr>
                <w:rFonts w:ascii="仿宋_GB2312" w:hAnsi="仿宋_GB2312" w:cs="仿宋_GB2312" w:eastAsia="仿宋_GB2312"/>
                <w:sz w:val="24"/>
              </w:rPr>
              <w:t>1000</w:t>
            </w:r>
            <w:r>
              <w:rPr>
                <w:rFonts w:ascii="仿宋_GB2312" w:hAnsi="仿宋_GB2312" w:cs="仿宋_GB2312" w:eastAsia="仿宋_GB2312"/>
                <w:sz w:val="24"/>
              </w:rPr>
              <w:t>亩的原则进行核定纳入补充耕地指标范围作为县级补充耕地指标。</w:t>
            </w:r>
          </w:p>
          <w:p>
            <w:pPr>
              <w:pStyle w:val="null3"/>
              <w:spacing w:before="105" w:after="105"/>
              <w:ind w:firstLine="480"/>
              <w:jc w:val="both"/>
            </w:pPr>
            <w:r>
              <w:rPr>
                <w:rFonts w:ascii="仿宋_GB2312" w:hAnsi="仿宋_GB2312" w:cs="仿宋_GB2312" w:eastAsia="仿宋_GB2312"/>
                <w:sz w:val="24"/>
              </w:rPr>
              <w:t>按照最新耕地占补平衡政策规定，耕地占补平衡指标主要用于县域内各种建设项目指标补充，其中</w:t>
            </w:r>
            <w:r>
              <w:rPr>
                <w:rFonts w:ascii="仿宋_GB2312" w:hAnsi="仿宋_GB2312" w:cs="仿宋_GB2312" w:eastAsia="仿宋_GB2312"/>
                <w:sz w:val="24"/>
              </w:rPr>
              <w:t>A</w:t>
            </w:r>
            <w:r>
              <w:rPr>
                <w:rFonts w:ascii="仿宋_GB2312" w:hAnsi="仿宋_GB2312" w:cs="仿宋_GB2312" w:eastAsia="仿宋_GB2312"/>
                <w:sz w:val="24"/>
              </w:rPr>
              <w:t>库指标主要用于县级各项非农建设项目占用耕地的补充，</w:t>
            </w:r>
            <w:r>
              <w:rPr>
                <w:rFonts w:ascii="仿宋_GB2312" w:hAnsi="仿宋_GB2312" w:cs="仿宋_GB2312" w:eastAsia="仿宋_GB2312"/>
                <w:sz w:val="24"/>
              </w:rPr>
              <w:t>B</w:t>
            </w:r>
            <w:r>
              <w:rPr>
                <w:rFonts w:ascii="仿宋_GB2312" w:hAnsi="仿宋_GB2312" w:cs="仿宋_GB2312" w:eastAsia="仿宋_GB2312"/>
                <w:sz w:val="24"/>
              </w:rPr>
              <w:t>库指标主要用于县域内农业产业结构调整、设施农业用地、农村建设用地（含宅基地、镇村公共设施和公益事业用地）、水库淹没区、土地整治工程（如於地坝、拦沙坝、高标准农田）建设过程中的必要附属设施占用耕地的补充。</w:t>
            </w:r>
          </w:p>
          <w:p>
            <w:pPr>
              <w:pStyle w:val="null3"/>
              <w:spacing w:before="105" w:after="105"/>
              <w:jc w:val="both"/>
            </w:pPr>
            <w:r>
              <w:rPr>
                <w:rFonts w:ascii="仿宋_GB2312" w:hAnsi="仿宋_GB2312" w:cs="仿宋_GB2312" w:eastAsia="仿宋_GB2312"/>
                <w:sz w:val="24"/>
                <w:b/>
              </w:rPr>
              <w:t>二、工作流程</w:t>
            </w:r>
          </w:p>
          <w:p>
            <w:pPr>
              <w:pStyle w:val="null3"/>
              <w:spacing w:before="105" w:after="105"/>
              <w:ind w:firstLine="480"/>
              <w:jc w:val="both"/>
            </w:pPr>
            <w:r>
              <w:rPr>
                <w:rFonts w:ascii="仿宋_GB2312" w:hAnsi="仿宋_GB2312" w:cs="仿宋_GB2312" w:eastAsia="仿宋_GB2312"/>
                <w:sz w:val="24"/>
              </w:rPr>
              <w:t>根据新的占补平衡改革政策，按照</w:t>
            </w:r>
            <w:r>
              <w:rPr>
                <w:rFonts w:ascii="仿宋_GB2312" w:hAnsi="仿宋_GB2312" w:cs="仿宋_GB2312" w:eastAsia="仿宋_GB2312"/>
                <w:sz w:val="24"/>
              </w:rPr>
              <w:t>“县级申报、市级审核、省级复核”的程序，由县级自然资源部门会同同级农业农村、水利、生态环境、林业等部门，在省级下发的拟核定范围内，从地类来源、耕种情况、耕作便利度、水源便利度、与现有耕地连片度、配套农田基础设施情况、生态条件、地形坡度、土壤污染状况等当面，逐地块开展补充耕地核定工作。对现状稳定耕种、集中连片、农田基础设施齐全、符合相关法律法规政策的新增耕地纳入县级申报补充耕地核定范围。县级自然资源部门会同农业农村部门上报市级自然资源和农业农村部门，申请市级审核。市级自然资源会同农业农村部门抽取不低于</w:t>
            </w:r>
            <w:r>
              <w:rPr>
                <w:rFonts w:ascii="仿宋_GB2312" w:hAnsi="仿宋_GB2312" w:cs="仿宋_GB2312" w:eastAsia="仿宋_GB2312"/>
                <w:sz w:val="24"/>
              </w:rPr>
              <w:t>50%</w:t>
            </w:r>
            <w:r>
              <w:rPr>
                <w:rFonts w:ascii="仿宋_GB2312" w:hAnsi="仿宋_GB2312" w:cs="仿宋_GB2312" w:eastAsia="仿宋_GB2312"/>
                <w:sz w:val="24"/>
              </w:rPr>
              <w:t>的图斑开展外业核实，经市级审核通过后出具相关意见，并报送省自然资源厅和农业农村厅申请省级复核，省级抽取不低于</w:t>
            </w:r>
            <w:r>
              <w:rPr>
                <w:rFonts w:ascii="仿宋_GB2312" w:hAnsi="仿宋_GB2312" w:cs="仿宋_GB2312" w:eastAsia="仿宋_GB2312"/>
                <w:sz w:val="24"/>
              </w:rPr>
              <w:t>30%</w:t>
            </w:r>
            <w:r>
              <w:rPr>
                <w:rFonts w:ascii="仿宋_GB2312" w:hAnsi="仿宋_GB2312" w:cs="仿宋_GB2312" w:eastAsia="仿宋_GB2312"/>
                <w:sz w:val="24"/>
              </w:rPr>
              <w:t>的图斑开展外业核实。</w:t>
            </w:r>
          </w:p>
          <w:p>
            <w:pPr>
              <w:pStyle w:val="null3"/>
              <w:spacing w:before="105" w:after="105"/>
              <w:ind w:firstLine="480"/>
              <w:jc w:val="both"/>
            </w:pPr>
            <w:r>
              <w:rPr>
                <w:rFonts w:ascii="仿宋_GB2312" w:hAnsi="仿宋_GB2312" w:cs="仿宋_GB2312" w:eastAsia="仿宋_GB2312"/>
                <w:sz w:val="24"/>
              </w:rPr>
              <w:t>经省级复核通过后的图斑，由县级自然资源部门在陕西耕地占补平衡监管平台分批次填报备案，逐地块录入新增耕地坐标和实地现状照片，上传标识新增耕地位置的高清正射影像图、市级和省级核定通过意见，直至通过省级审核并形成县级非农建设补充耕地指标。</w:t>
            </w:r>
          </w:p>
          <w:p>
            <w:pPr>
              <w:pStyle w:val="null3"/>
              <w:spacing w:before="105" w:after="105"/>
              <w:jc w:val="both"/>
            </w:pPr>
            <w:r>
              <w:rPr>
                <w:rFonts w:ascii="仿宋_GB2312" w:hAnsi="仿宋_GB2312" w:cs="仿宋_GB2312" w:eastAsia="仿宋_GB2312"/>
                <w:sz w:val="24"/>
                <w:b/>
              </w:rPr>
              <w:t>三、工作内容</w:t>
            </w:r>
          </w:p>
          <w:p>
            <w:pPr>
              <w:pStyle w:val="null3"/>
              <w:spacing w:before="105" w:after="105"/>
              <w:jc w:val="both"/>
            </w:pPr>
            <w:r>
              <w:rPr>
                <w:rFonts w:ascii="仿宋_GB2312" w:hAnsi="仿宋_GB2312" w:cs="仿宋_GB2312" w:eastAsia="仿宋_GB2312"/>
                <w:sz w:val="24"/>
              </w:rPr>
              <w:t>（一）潜力图斑筛选和调查</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）基础资料收集：收集乾县国土变更调查、</w:t>
            </w:r>
            <w:r>
              <w:rPr>
                <w:rFonts w:ascii="仿宋_GB2312" w:hAnsi="仿宋_GB2312" w:cs="仿宋_GB2312" w:eastAsia="仿宋_GB2312"/>
                <w:sz w:val="24"/>
              </w:rPr>
              <w:t>“三区三线”、用地报批、水利、林业保护、设农备案、耕地后备资源调查、土地储备计划、重点建设项目等实施范围资料，矢量化数据统一坐标系，制作基础参考数据。</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）潜力图斑筛选：根据省、市下发图斑，对不能纳入补充耕地的禁止项和限制项进行内业高清影像初步筛选，确保潜力图斑合规性</w:t>
            </w:r>
            <w:r>
              <w:rPr>
                <w:rFonts w:ascii="仿宋_GB2312" w:hAnsi="仿宋_GB2312" w:cs="仿宋_GB2312" w:eastAsia="仿宋_GB2312"/>
                <w:sz w:val="24"/>
              </w:rPr>
              <w:t>；</w:t>
            </w:r>
            <w:r>
              <w:rPr>
                <w:rFonts w:ascii="仿宋_GB2312" w:hAnsi="仿宋_GB2312" w:cs="仿宋_GB2312" w:eastAsia="仿宋_GB2312"/>
                <w:sz w:val="24"/>
              </w:rPr>
              <w:t>对初判预选的图斑进行边界修整。叠加现状耕地图斑、建设用地等非耕地图斑对纳入潜力调查的图斑边界进行修整，保障耕地集中连片和边界美观，同步处理细碎图斑</w:t>
            </w:r>
            <w:r>
              <w:rPr>
                <w:rFonts w:ascii="仿宋_GB2312" w:hAnsi="仿宋_GB2312" w:cs="仿宋_GB2312" w:eastAsia="仿宋_GB2312"/>
                <w:sz w:val="24"/>
              </w:rPr>
              <w:t>；</w:t>
            </w:r>
            <w:r>
              <w:rPr>
                <w:rFonts w:ascii="仿宋_GB2312" w:hAnsi="仿宋_GB2312" w:cs="仿宋_GB2312" w:eastAsia="仿宋_GB2312"/>
                <w:sz w:val="24"/>
              </w:rPr>
              <w:t>最终形成符合要求的潜力图斑。结合三区三线划定耕地保护目标和永久基本农田的规则，筛选符合要求的稳定利用耕地。全县规模</w:t>
            </w:r>
            <w:r>
              <w:rPr>
                <w:rFonts w:ascii="仿宋_GB2312" w:hAnsi="仿宋_GB2312" w:cs="仿宋_GB2312" w:eastAsia="仿宋_GB2312"/>
                <w:sz w:val="24"/>
              </w:rPr>
              <w:t>102174.62</w:t>
            </w:r>
            <w:r>
              <w:rPr>
                <w:rFonts w:ascii="仿宋_GB2312" w:hAnsi="仿宋_GB2312" w:cs="仿宋_GB2312" w:eastAsia="仿宋_GB2312"/>
                <w:sz w:val="24"/>
              </w:rPr>
              <w:t>亩，图斑总量为</w:t>
            </w:r>
            <w:r>
              <w:rPr>
                <w:rFonts w:ascii="仿宋_GB2312" w:hAnsi="仿宋_GB2312" w:cs="仿宋_GB2312" w:eastAsia="仿宋_GB2312"/>
                <w:sz w:val="24"/>
              </w:rPr>
              <w:t>18315</w:t>
            </w:r>
            <w:r>
              <w:rPr>
                <w:rFonts w:ascii="仿宋_GB2312" w:hAnsi="仿宋_GB2312" w:cs="仿宋_GB2312" w:eastAsia="仿宋_GB2312"/>
                <w:sz w:val="24"/>
              </w:rPr>
              <w:t>个。</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潜力图斑实地调查：对潜力图斑进行实地调查，对接县级相关部门及各乡镇、相关行政村，调查现状是否为耕地，种植农作物情况，道路通达情况，灌溉设施情况、土层情况等，确定是否符合种植粮食作物的基础条件。调查图斑总量约为</w:t>
            </w:r>
            <w:r>
              <w:rPr>
                <w:rFonts w:ascii="仿宋_GB2312" w:hAnsi="仿宋_GB2312" w:cs="仿宋_GB2312" w:eastAsia="仿宋_GB2312"/>
                <w:sz w:val="24"/>
              </w:rPr>
              <w:t>4000</w:t>
            </w:r>
            <w:r>
              <w:rPr>
                <w:rFonts w:ascii="仿宋_GB2312" w:hAnsi="仿宋_GB2312" w:cs="仿宋_GB2312" w:eastAsia="仿宋_GB2312"/>
                <w:sz w:val="24"/>
              </w:rPr>
              <w:t>个，面积</w:t>
            </w:r>
            <w:r>
              <w:rPr>
                <w:rFonts w:ascii="仿宋_GB2312" w:hAnsi="仿宋_GB2312" w:cs="仿宋_GB2312" w:eastAsia="仿宋_GB2312"/>
                <w:sz w:val="24"/>
              </w:rPr>
              <w:t>8000</w:t>
            </w:r>
            <w:r>
              <w:rPr>
                <w:rFonts w:ascii="仿宋_GB2312" w:hAnsi="仿宋_GB2312" w:cs="仿宋_GB2312" w:eastAsia="仿宋_GB2312"/>
                <w:sz w:val="24"/>
              </w:rPr>
              <w:t>亩。</w:t>
            </w:r>
          </w:p>
          <w:p>
            <w:pPr>
              <w:pStyle w:val="null3"/>
              <w:spacing w:before="105" w:after="105"/>
              <w:jc w:val="both"/>
            </w:pPr>
            <w:r>
              <w:rPr>
                <w:rFonts w:ascii="仿宋_GB2312" w:hAnsi="仿宋_GB2312" w:cs="仿宋_GB2312" w:eastAsia="仿宋_GB2312"/>
                <w:sz w:val="24"/>
              </w:rPr>
              <w:t>（二）指标核定入库</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）申请立项：将确认的</w:t>
            </w:r>
            <w:r>
              <w:rPr>
                <w:rFonts w:ascii="仿宋_GB2312" w:hAnsi="仿宋_GB2312" w:cs="仿宋_GB2312" w:eastAsia="仿宋_GB2312"/>
                <w:sz w:val="24"/>
              </w:rPr>
              <w:t>7000</w:t>
            </w:r>
            <w:r>
              <w:rPr>
                <w:rFonts w:ascii="仿宋_GB2312" w:hAnsi="仿宋_GB2312" w:cs="仿宋_GB2312" w:eastAsia="仿宋_GB2312"/>
                <w:sz w:val="24"/>
              </w:rPr>
              <w:t>亩指标涉及的地块（图斑数</w:t>
            </w:r>
            <w:r>
              <w:rPr>
                <w:rFonts w:ascii="仿宋_GB2312" w:hAnsi="仿宋_GB2312" w:cs="仿宋_GB2312" w:eastAsia="仿宋_GB2312"/>
                <w:sz w:val="24"/>
              </w:rPr>
              <w:t>3600</w:t>
            </w:r>
            <w:r>
              <w:rPr>
                <w:rFonts w:ascii="仿宋_GB2312" w:hAnsi="仿宋_GB2312" w:cs="仿宋_GB2312" w:eastAsia="仿宋_GB2312"/>
                <w:sz w:val="24"/>
              </w:rPr>
              <w:t>个）按批次上传至占补平衡系统，同步填写相关地块信息，申请省级审查立项。对省级内业审查不通过的批次进行修改，重新上传申请省级审查，直至通过省级技术审查完成项目立项工作。</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）外业举证：对</w:t>
            </w:r>
            <w:r>
              <w:rPr>
                <w:rFonts w:ascii="仿宋_GB2312" w:hAnsi="仿宋_GB2312" w:cs="仿宋_GB2312" w:eastAsia="仿宋_GB2312"/>
                <w:sz w:val="24"/>
              </w:rPr>
              <w:t>7000</w:t>
            </w:r>
            <w:r>
              <w:rPr>
                <w:rFonts w:ascii="仿宋_GB2312" w:hAnsi="仿宋_GB2312" w:cs="仿宋_GB2312" w:eastAsia="仿宋_GB2312"/>
                <w:sz w:val="24"/>
              </w:rPr>
              <w:t>亩拟入库耕地（图斑数</w:t>
            </w:r>
            <w:r>
              <w:rPr>
                <w:rFonts w:ascii="仿宋_GB2312" w:hAnsi="仿宋_GB2312" w:cs="仿宋_GB2312" w:eastAsia="仿宋_GB2312"/>
                <w:sz w:val="24"/>
              </w:rPr>
              <w:t>3600</w:t>
            </w:r>
            <w:r>
              <w:rPr>
                <w:rFonts w:ascii="仿宋_GB2312" w:hAnsi="仿宋_GB2312" w:cs="仿宋_GB2312" w:eastAsia="仿宋_GB2312"/>
                <w:sz w:val="24"/>
              </w:rPr>
              <w:t>个），按要求使用调查监测云逐地块进行带定位拍照举证，按照省厅审核举证要求，该项工作举证要求在照片数量、定位要求等方面远高于国土变更调查举证要求。</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）正射影像图采集制作：按照项目备案要求，逐图斑开展航拍正射影像（不低于</w:t>
            </w:r>
            <w:r>
              <w:rPr>
                <w:rFonts w:ascii="仿宋_GB2312" w:hAnsi="仿宋_GB2312" w:cs="仿宋_GB2312" w:eastAsia="仿宋_GB2312"/>
                <w:sz w:val="24"/>
              </w:rPr>
              <w:t>0.2</w:t>
            </w:r>
            <w:r>
              <w:rPr>
                <w:rFonts w:ascii="仿宋_GB2312" w:hAnsi="仿宋_GB2312" w:cs="仿宋_GB2312" w:eastAsia="仿宋_GB2312"/>
                <w:sz w:val="24"/>
              </w:rPr>
              <w:t>米分辨率）采集工作，预估图斑总量</w:t>
            </w:r>
            <w:r>
              <w:rPr>
                <w:rFonts w:ascii="仿宋_GB2312" w:hAnsi="仿宋_GB2312" w:cs="仿宋_GB2312" w:eastAsia="仿宋_GB2312"/>
                <w:sz w:val="24"/>
              </w:rPr>
              <w:t>3600</w:t>
            </w:r>
            <w:r>
              <w:rPr>
                <w:rFonts w:ascii="仿宋_GB2312" w:hAnsi="仿宋_GB2312" w:cs="仿宋_GB2312" w:eastAsia="仿宋_GB2312"/>
                <w:sz w:val="24"/>
              </w:rPr>
              <w:t>个，预计航飞面积为</w:t>
            </w:r>
            <w:r>
              <w:rPr>
                <w:rFonts w:ascii="仿宋_GB2312" w:hAnsi="仿宋_GB2312" w:cs="仿宋_GB2312" w:eastAsia="仿宋_GB2312"/>
                <w:sz w:val="24"/>
              </w:rPr>
              <w:t>72</w:t>
            </w:r>
            <w:r>
              <w:rPr>
                <w:rFonts w:ascii="仿宋_GB2312" w:hAnsi="仿宋_GB2312" w:cs="仿宋_GB2312" w:eastAsia="仿宋_GB2312"/>
                <w:sz w:val="24"/>
              </w:rPr>
              <w:t>平方公里，参照测绘类项目支出标准（</w:t>
            </w:r>
            <w:r>
              <w:rPr>
                <w:rFonts w:ascii="仿宋_GB2312" w:hAnsi="仿宋_GB2312" w:cs="仿宋_GB2312" w:eastAsia="仿宋_GB2312"/>
                <w:sz w:val="24"/>
              </w:rPr>
              <w:t>2023</w:t>
            </w:r>
            <w:r>
              <w:rPr>
                <w:rFonts w:ascii="仿宋_GB2312" w:hAnsi="仿宋_GB2312" w:cs="仿宋_GB2312" w:eastAsia="仿宋_GB2312"/>
                <w:sz w:val="24"/>
              </w:rPr>
              <w:t>年）中数字正射影像图定额标准，影像分辨率为</w:t>
            </w:r>
            <w:r>
              <w:rPr>
                <w:rFonts w:ascii="仿宋_GB2312" w:hAnsi="仿宋_GB2312" w:cs="仿宋_GB2312" w:eastAsia="仿宋_GB2312"/>
                <w:sz w:val="24"/>
              </w:rPr>
              <w:t>0.2m,</w:t>
            </w:r>
            <w:r>
              <w:rPr>
                <w:rFonts w:ascii="仿宋_GB2312" w:hAnsi="仿宋_GB2312" w:cs="仿宋_GB2312" w:eastAsia="仿宋_GB2312"/>
                <w:sz w:val="24"/>
              </w:rPr>
              <w:t>比例尺</w:t>
            </w:r>
            <w:r>
              <w:rPr>
                <w:rFonts w:ascii="仿宋_GB2312" w:hAnsi="仿宋_GB2312" w:cs="仿宋_GB2312" w:eastAsia="仿宋_GB2312"/>
                <w:sz w:val="24"/>
              </w:rPr>
              <w:t>1:2000</w:t>
            </w:r>
            <w:r>
              <w:rPr>
                <w:rFonts w:ascii="仿宋_GB2312" w:hAnsi="仿宋_GB2312" w:cs="仿宋_GB2312" w:eastAsia="仿宋_GB2312"/>
                <w:sz w:val="24"/>
              </w:rPr>
              <w:t>。</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地块边界修正、补充举证：结合航拍正射影像，对耕地范围内不符合要求的（套种、田坎、坟地、管理房、撂荒）等不符合报备审查要求的进行内业分割剔除。修改的地块重新开展外业正射影像航飞采集工作。工作量按</w:t>
            </w:r>
            <w:r>
              <w:rPr>
                <w:rFonts w:ascii="仿宋_GB2312" w:hAnsi="仿宋_GB2312" w:cs="仿宋_GB2312" w:eastAsia="仿宋_GB2312"/>
                <w:sz w:val="24"/>
              </w:rPr>
              <w:t>10%</w:t>
            </w:r>
            <w:r>
              <w:rPr>
                <w:rFonts w:ascii="仿宋_GB2312" w:hAnsi="仿宋_GB2312" w:cs="仿宋_GB2312" w:eastAsia="仿宋_GB2312"/>
                <w:sz w:val="24"/>
              </w:rPr>
              <w:t>的地块计算，图斑数约为</w:t>
            </w:r>
            <w:r>
              <w:rPr>
                <w:rFonts w:ascii="仿宋_GB2312" w:hAnsi="仿宋_GB2312" w:cs="仿宋_GB2312" w:eastAsia="仿宋_GB2312"/>
                <w:sz w:val="24"/>
              </w:rPr>
              <w:t>360</w:t>
            </w:r>
            <w:r>
              <w:rPr>
                <w:rFonts w:ascii="仿宋_GB2312" w:hAnsi="仿宋_GB2312" w:cs="仿宋_GB2312" w:eastAsia="仿宋_GB2312"/>
                <w:sz w:val="24"/>
              </w:rPr>
              <w:t>个。</w:t>
            </w:r>
          </w:p>
          <w:p>
            <w:pPr>
              <w:pStyle w:val="null3"/>
              <w:spacing w:before="105" w:after="105"/>
              <w:jc w:val="both"/>
            </w:pPr>
            <w:r>
              <w:rPr>
                <w:rFonts w:ascii="仿宋_GB2312" w:hAnsi="仿宋_GB2312" w:cs="仿宋_GB2312" w:eastAsia="仿宋_GB2312"/>
                <w:sz w:val="24"/>
              </w:rPr>
              <w:t>（三）验收备案</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县级自验：根据技术方案要求开展县级自检，组织自然资源、农业农村、水利、林业等部门对项目涉及指标范围进行检查验收，出具县级各部门审查验收意见，作为省市验收必须资料。此项工作主要包含组织各部门审查和验收。</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）市级验收：完成县级各部门验收后，向市级申请进行验收，配合市级抽取不低于</w:t>
            </w:r>
            <w:r>
              <w:rPr>
                <w:rFonts w:ascii="仿宋_GB2312" w:hAnsi="仿宋_GB2312" w:cs="仿宋_GB2312" w:eastAsia="仿宋_GB2312"/>
                <w:sz w:val="24"/>
              </w:rPr>
              <w:t>50%</w:t>
            </w:r>
            <w:r>
              <w:rPr>
                <w:rFonts w:ascii="仿宋_GB2312" w:hAnsi="仿宋_GB2312" w:cs="仿宋_GB2312" w:eastAsia="仿宋_GB2312"/>
                <w:sz w:val="24"/>
              </w:rPr>
              <w:t>的图斑进行实地核实，完成相关整改和验收资料准备，组织召开市级验收会议等内容。此项工作主要是完成资料准备以及可能存在的部分整改工作，还有组织会议等内容。</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3</w:t>
            </w:r>
            <w:r>
              <w:rPr>
                <w:rFonts w:ascii="仿宋_GB2312" w:hAnsi="仿宋_GB2312" w:cs="仿宋_GB2312" w:eastAsia="仿宋_GB2312"/>
                <w:sz w:val="24"/>
              </w:rPr>
              <w:t>）省级验收：完成市级验收后，向省级申请进行验收，配合省级抽取不低于</w:t>
            </w:r>
            <w:r>
              <w:rPr>
                <w:rFonts w:ascii="仿宋_GB2312" w:hAnsi="仿宋_GB2312" w:cs="仿宋_GB2312" w:eastAsia="仿宋_GB2312"/>
                <w:sz w:val="24"/>
              </w:rPr>
              <w:t>30%</w:t>
            </w:r>
            <w:r>
              <w:rPr>
                <w:rFonts w:ascii="仿宋_GB2312" w:hAnsi="仿宋_GB2312" w:cs="仿宋_GB2312" w:eastAsia="仿宋_GB2312"/>
                <w:sz w:val="24"/>
              </w:rPr>
              <w:t>的图斑进行实地核实，完成相关整改和验收资料准备。此项工作主要是完成资料准备以及可能存在的部分整改工作，还有组织会议等内容。对省级复核不通过的图斑或资料进行整改或调整，重新上报市级进行审核，直至通过省级复核。</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4</w:t>
            </w:r>
            <w:r>
              <w:rPr>
                <w:rFonts w:ascii="仿宋_GB2312" w:hAnsi="仿宋_GB2312" w:cs="仿宋_GB2312" w:eastAsia="仿宋_GB2312"/>
                <w:sz w:val="24"/>
              </w:rPr>
              <w:t>）各级验收成果资料准备：对通过省级复核的图斑，按批次收集市级、省级立项及验收核定通过意见，涉及耕地来源为林地的要收集县级林业部门同意意见，按照技术方案和平台填报要求准备好相关立项及验收意见资料。</w:t>
            </w:r>
          </w:p>
          <w:p>
            <w:pPr>
              <w:pStyle w:val="null3"/>
              <w:spacing w:before="105" w:after="105"/>
              <w:ind w:firstLine="480"/>
              <w:jc w:val="both"/>
            </w:pPr>
            <w:r>
              <w:rPr>
                <w:rFonts w:ascii="仿宋_GB2312" w:hAnsi="仿宋_GB2312" w:cs="仿宋_GB2312" w:eastAsia="仿宋_GB2312"/>
                <w:sz w:val="24"/>
              </w:rPr>
              <w:t>（</w:t>
            </w:r>
            <w:r>
              <w:rPr>
                <w:rFonts w:ascii="仿宋_GB2312" w:hAnsi="仿宋_GB2312" w:cs="仿宋_GB2312" w:eastAsia="仿宋_GB2312"/>
                <w:sz w:val="24"/>
              </w:rPr>
              <w:t>5</w:t>
            </w:r>
            <w:r>
              <w:rPr>
                <w:rFonts w:ascii="仿宋_GB2312" w:hAnsi="仿宋_GB2312" w:cs="仿宋_GB2312" w:eastAsia="仿宋_GB2312"/>
                <w:sz w:val="24"/>
              </w:rPr>
              <w:t>）指标报备入库：将收集整理好的立项和验收意见等资料，按要求逐图斑、逐批次上传至备案平台，完成指标核定占补平衡平台填报。</w:t>
            </w:r>
          </w:p>
          <w:p>
            <w:pPr>
              <w:pStyle w:val="null3"/>
              <w:spacing w:before="105" w:after="105"/>
              <w:jc w:val="both"/>
            </w:pPr>
            <w:r>
              <w:rPr>
                <w:rFonts w:ascii="仿宋_GB2312" w:hAnsi="仿宋_GB2312" w:cs="仿宋_GB2312" w:eastAsia="仿宋_GB2312"/>
                <w:sz w:val="24"/>
                <w:b/>
              </w:rPr>
              <w:t>四、项目主要成果</w:t>
            </w:r>
          </w:p>
          <w:p>
            <w:pPr>
              <w:pStyle w:val="null3"/>
              <w:spacing w:before="105" w:after="105"/>
              <w:ind w:firstLine="480"/>
              <w:jc w:val="both"/>
            </w:pPr>
            <w:r>
              <w:rPr>
                <w:rFonts w:ascii="仿宋_GB2312" w:hAnsi="仿宋_GB2312" w:cs="仿宋_GB2312" w:eastAsia="仿宋_GB2312"/>
                <w:sz w:val="24"/>
              </w:rPr>
              <w:t>1</w:t>
            </w:r>
            <w:r>
              <w:rPr>
                <w:rFonts w:ascii="仿宋_GB2312" w:hAnsi="仿宋_GB2312" w:cs="仿宋_GB2312" w:eastAsia="仿宋_GB2312"/>
                <w:sz w:val="24"/>
              </w:rPr>
              <w:t>、各镇办、行政村工作底图；</w:t>
            </w:r>
          </w:p>
          <w:p>
            <w:pPr>
              <w:pStyle w:val="null3"/>
              <w:spacing w:before="105" w:after="105"/>
              <w:ind w:firstLine="480"/>
              <w:jc w:val="both"/>
            </w:pPr>
            <w:r>
              <w:rPr>
                <w:rFonts w:ascii="仿宋_GB2312" w:hAnsi="仿宋_GB2312" w:cs="仿宋_GB2312" w:eastAsia="仿宋_GB2312"/>
                <w:sz w:val="24"/>
              </w:rPr>
              <w:t>2</w:t>
            </w:r>
            <w:r>
              <w:rPr>
                <w:rFonts w:ascii="仿宋_GB2312" w:hAnsi="仿宋_GB2312" w:cs="仿宋_GB2312" w:eastAsia="仿宋_GB2312"/>
                <w:sz w:val="24"/>
              </w:rPr>
              <w:t>、县级农业农村、水利、林业、生态环境等部门意见；</w:t>
            </w:r>
          </w:p>
          <w:p>
            <w:pPr>
              <w:pStyle w:val="null3"/>
              <w:spacing w:before="105" w:after="105"/>
              <w:ind w:firstLine="480"/>
              <w:jc w:val="both"/>
            </w:pPr>
            <w:r>
              <w:rPr>
                <w:rFonts w:ascii="仿宋_GB2312" w:hAnsi="仿宋_GB2312" w:cs="仿宋_GB2312" w:eastAsia="仿宋_GB2312"/>
                <w:sz w:val="24"/>
              </w:rPr>
              <w:t>3</w:t>
            </w:r>
            <w:r>
              <w:rPr>
                <w:rFonts w:ascii="仿宋_GB2312" w:hAnsi="仿宋_GB2312" w:cs="仿宋_GB2312" w:eastAsia="仿宋_GB2312"/>
                <w:sz w:val="24"/>
              </w:rPr>
              <w:t>、省市审核通过意见；</w:t>
            </w:r>
          </w:p>
          <w:p>
            <w:pPr>
              <w:pStyle w:val="null3"/>
              <w:spacing w:before="105" w:after="105"/>
              <w:ind w:firstLine="480"/>
              <w:jc w:val="both"/>
            </w:pPr>
            <w:r>
              <w:rPr>
                <w:rFonts w:ascii="仿宋_GB2312" w:hAnsi="仿宋_GB2312" w:cs="仿宋_GB2312" w:eastAsia="仿宋_GB2312"/>
                <w:sz w:val="24"/>
              </w:rPr>
              <w:t>4</w:t>
            </w:r>
            <w:r>
              <w:rPr>
                <w:rFonts w:ascii="仿宋_GB2312" w:hAnsi="仿宋_GB2312" w:cs="仿宋_GB2312" w:eastAsia="仿宋_GB2312"/>
                <w:sz w:val="24"/>
              </w:rPr>
              <w:t>、备案图斑高清遥感影像图；</w:t>
            </w:r>
          </w:p>
          <w:p>
            <w:pPr>
              <w:pStyle w:val="null3"/>
              <w:spacing w:before="105" w:after="105"/>
              <w:jc w:val="left"/>
            </w:pPr>
            <w:r>
              <w:rPr>
                <w:rFonts w:ascii="仿宋_GB2312" w:hAnsi="仿宋_GB2312" w:cs="仿宋_GB2312" w:eastAsia="仿宋_GB2312"/>
                <w:sz w:val="24"/>
                <w:b/>
              </w:rPr>
              <w:t>五、服务标准：</w:t>
            </w:r>
            <w:r>
              <w:rPr>
                <w:rFonts w:ascii="仿宋_GB2312" w:hAnsi="仿宋_GB2312" w:cs="仿宋_GB2312" w:eastAsia="仿宋_GB2312"/>
                <w:sz w:val="24"/>
              </w:rPr>
              <w:t>符合国家和行业制定的相应标准和规范</w:t>
            </w:r>
          </w:p>
          <w:p>
            <w:pPr>
              <w:pStyle w:val="null3"/>
              <w:spacing w:before="105" w:after="105"/>
              <w:jc w:val="left"/>
            </w:pPr>
            <w:r>
              <w:rPr>
                <w:rFonts w:ascii="仿宋_GB2312" w:hAnsi="仿宋_GB2312" w:cs="仿宋_GB2312" w:eastAsia="仿宋_GB2312"/>
                <w:sz w:val="24"/>
                <w:b/>
              </w:rPr>
              <w:t>六、服务期限：</w:t>
            </w:r>
            <w:r>
              <w:rPr>
                <w:rFonts w:ascii="仿宋_GB2312" w:hAnsi="仿宋_GB2312" w:cs="仿宋_GB2312" w:eastAsia="仿宋_GB2312"/>
                <w:sz w:val="24"/>
              </w:rPr>
              <w:t>90</w:t>
            </w:r>
            <w:r>
              <w:rPr>
                <w:rFonts w:ascii="仿宋_GB2312" w:hAnsi="仿宋_GB2312" w:cs="仿宋_GB2312" w:eastAsia="仿宋_GB2312"/>
                <w:sz w:val="24"/>
              </w:rPr>
              <w:t>天</w:t>
            </w:r>
          </w:p>
          <w:p>
            <w:pPr>
              <w:pStyle w:val="null3"/>
              <w:spacing w:before="105" w:after="105"/>
              <w:jc w:val="left"/>
            </w:pPr>
            <w:r>
              <w:rPr>
                <w:rFonts w:ascii="仿宋_GB2312" w:hAnsi="仿宋_GB2312" w:cs="仿宋_GB2312" w:eastAsia="仿宋_GB2312"/>
                <w:sz w:val="24"/>
                <w:b/>
              </w:rPr>
              <w:t>七、付款方式：</w:t>
            </w:r>
            <w:r>
              <w:rPr>
                <w:rFonts w:ascii="仿宋_GB2312" w:hAnsi="仿宋_GB2312" w:cs="仿宋_GB2312" w:eastAsia="仿宋_GB2312"/>
                <w:sz w:val="24"/>
              </w:rPr>
              <w:t>完成项目前期调查、筛查等，达到付款条件起</w:t>
            </w:r>
            <w:r>
              <w:rPr>
                <w:rFonts w:ascii="仿宋_GB2312" w:hAnsi="仿宋_GB2312" w:cs="仿宋_GB2312" w:eastAsia="仿宋_GB2312"/>
                <w:sz w:val="24"/>
              </w:rPr>
              <w:t xml:space="preserve"> 30 </w:t>
            </w:r>
            <w:r>
              <w:rPr>
                <w:rFonts w:ascii="仿宋_GB2312" w:hAnsi="仿宋_GB2312" w:cs="仿宋_GB2312" w:eastAsia="仿宋_GB2312"/>
                <w:sz w:val="24"/>
              </w:rPr>
              <w:t>日内，支付合同总金额的</w:t>
            </w:r>
            <w:r>
              <w:rPr>
                <w:rFonts w:ascii="仿宋_GB2312" w:hAnsi="仿宋_GB2312" w:cs="仿宋_GB2312" w:eastAsia="仿宋_GB2312"/>
                <w:sz w:val="24"/>
              </w:rPr>
              <w:t>60.00%</w:t>
            </w:r>
            <w:r>
              <w:rPr>
                <w:rFonts w:ascii="仿宋_GB2312" w:hAnsi="仿宋_GB2312" w:cs="仿宋_GB2312" w:eastAsia="仿宋_GB2312"/>
                <w:sz w:val="24"/>
              </w:rPr>
              <w:t>；完成报备入库后，达到付款条件起</w:t>
            </w:r>
            <w:r>
              <w:rPr>
                <w:rFonts w:ascii="仿宋_GB2312" w:hAnsi="仿宋_GB2312" w:cs="仿宋_GB2312" w:eastAsia="仿宋_GB2312"/>
                <w:sz w:val="24"/>
              </w:rPr>
              <w:t xml:space="preserve">30 </w:t>
            </w:r>
            <w:r>
              <w:rPr>
                <w:rFonts w:ascii="仿宋_GB2312" w:hAnsi="仿宋_GB2312" w:cs="仿宋_GB2312" w:eastAsia="仿宋_GB2312"/>
                <w:sz w:val="24"/>
              </w:rPr>
              <w:t>日内，支付合同总金额的</w:t>
            </w:r>
            <w:r>
              <w:rPr>
                <w:rFonts w:ascii="仿宋_GB2312" w:hAnsi="仿宋_GB2312" w:cs="仿宋_GB2312" w:eastAsia="仿宋_GB2312"/>
                <w:sz w:val="24"/>
              </w:rPr>
              <w:t>40.00%</w:t>
            </w:r>
            <w:r>
              <w:rPr>
                <w:rFonts w:ascii="仿宋_GB2312" w:hAnsi="仿宋_GB2312" w:cs="仿宋_GB2312" w:eastAsia="仿宋_GB2312"/>
                <w:sz w:val="24"/>
              </w:rPr>
              <w:t>。</w:t>
            </w:r>
          </w:p>
          <w:p>
            <w:pPr>
              <w:pStyle w:val="null3"/>
              <w:jc w:val="left"/>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人员配备合理满足本项目各项需求，职责分工明确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满足本项目采购需求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项目提交后，提供后续项目成果咨询或答疑。</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90天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《补充耕地质量验收评定技术规范（试行）》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进度款，完成项目前期调查、筛查等，达到付款条件起30个工作日内，支付合同总金额的60.0%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进度款，完成报备入库，达到付款条件起30个工作日内，支付合同总金额的40.0%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3.4.1响应报价是供应商响应本项目要求的全部工作内容的价格体现，包括供应商完成本项目所需的人工费、设备费、管理费、利润和税金等全部费用。在提供服务的过程中的任何遗漏，均由成交供应商免费提供，采购人将不再支付任何费用。 3.4.2采购标的对应的中小企业划分标准所属行业为其他未列明行业。 3.4.3 成交供应商在成交结果公告发布后3个工作日内提供叁套纸质响应文件（经编标工具生成的文件直接打印并加盖公章），递交的纸质版文件内容确保与线上电子文件保持一致，不允许修改和补充。</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同时提供以下资料：1、提供合格有效的法人或者其他组织的营业执照等证明文件，自然人的身份证明（供应商是法人或其他组织的应提供营业执照等证明文件，供应商是自然人的应提供有效的自然人身份证明）； 2、具有良好的商业信誉和健全的财务会计制度（供应商应提供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 3、提供具有履行合同所必需的设备和专业技术能力的承诺； 4、供应商提供磋商响应文件递交截止之日前一年内已缴纳的至少一个月的纳税证明或完税证明（印花税、个人所得税除外至少提供一种），纳税证明或完税证明上应有代收机构或税务机关的公章或业务专用章，依法免税的供应商应提供相应证明文件； 5、供应商提供磋商响应文件递交截止之日前一年内已缴存的至少一个月的社会保障资金缴存单据或社保机构开具的社会保险参保缴费情况证明，依法不需要缴纳社会保障资金的供应商应提供相应证明文件； 6、参加政府采购活动前三年内，在经营活动中没有重大违法记录的书面声明。</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具有良好的商业信誉和健全的财务会计制度（供应商应提供提供2024或2025年度经审计的财务报告（包括审计报告、资产负债表、利润表、现金流量表、所有者权益变动表（没有可不提供）及附注，成立时间至响应文件提交截止时间不足一年的可提供成立后任意时段的资产负债表），或响应文件提交截止时间三个月内基本账户开户银行出具的资信证明及基本存款账户信息（以上两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法定代表人或授权代表身份证明</w:t>
            </w:r>
          </w:p>
        </w:tc>
        <w:tc>
          <w:tcPr>
            <w:tcW w:type="dxa" w:w="3322"/>
          </w:tcPr>
          <w:p>
            <w:pPr>
              <w:pStyle w:val="null3"/>
            </w:pPr>
            <w:r>
              <w:rPr>
                <w:rFonts w:ascii="仿宋_GB2312" w:hAnsi="仿宋_GB2312" w:cs="仿宋_GB2312" w:eastAsia="仿宋_GB2312"/>
              </w:rPr>
              <w:t>法定代表人直接参加磋商的，须出具法定代表人身份证明。法定代表人委托代理人参加磋商的，须出具法定代表人授权书（附法定代表人、代理人身份证复印件）及代理人本单位证明（响应文件提交截止日前六个月内任意一个月养老保险缴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供应商须具备行政主管部门颁发的测绘乙级及以上资质，资质专业范围包含【地理信息系统工程、摄影测量与遥感、地图编制、工程测量】；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响应文件解密完成后查询相关信用记录，对列入失信被执行人、重大税收违法失信主体、政府采购严重违法失信行为记录名单及其他不符合《中华人民共和国政府采购法》第二十二条规定的供应商，将拒绝其参与政府采购活动，查询结果以电子或纸质方式留存）</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响应文件签署、盖章均按磋商文件要求签字、盖章</w:t>
            </w:r>
          </w:p>
        </w:tc>
        <w:tc>
          <w:tcPr>
            <w:tcW w:type="dxa" w:w="1661"/>
          </w:tcPr>
          <w:p>
            <w:pPr>
              <w:pStyle w:val="null3"/>
            </w:pPr>
            <w:r>
              <w:rPr>
                <w:rFonts w:ascii="仿宋_GB2312" w:hAnsi="仿宋_GB2312" w:cs="仿宋_GB2312" w:eastAsia="仿宋_GB2312"/>
              </w:rPr>
              <w:t>响应文件封面 分项报价表.docx 中小企业声明函 残疾人福利性单位声明函 商务应答表 服务内容及服务要求应答表 标的清单 响应函 服务方案.docx 陕西省政府采购供应商拒绝政府采购领域商业贿赂承诺书.docx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符合磋商文件规定</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货币单位符合磋商文件要求，报价符合磋商文件填报要求，报价唯一，且没有超过采购预算或限价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响应有效性</w:t>
            </w:r>
          </w:p>
        </w:tc>
        <w:tc>
          <w:tcPr>
            <w:tcW w:type="dxa" w:w="3322"/>
          </w:tcPr>
          <w:p>
            <w:pPr>
              <w:pStyle w:val="null3"/>
            </w:pPr>
            <w:r>
              <w:rPr>
                <w:rFonts w:ascii="仿宋_GB2312" w:hAnsi="仿宋_GB2312" w:cs="仿宋_GB2312" w:eastAsia="仿宋_GB2312"/>
              </w:rPr>
              <w:t>未出现磋商文件规定的无效响应情形</w:t>
            </w:r>
          </w:p>
        </w:tc>
        <w:tc>
          <w:tcPr>
            <w:tcW w:type="dxa" w:w="1661"/>
          </w:tcPr>
          <w:p>
            <w:pPr>
              <w:pStyle w:val="null3"/>
            </w:pPr>
            <w:r>
              <w:rPr>
                <w:rFonts w:ascii="仿宋_GB2312" w:hAnsi="仿宋_GB2312" w:cs="仿宋_GB2312" w:eastAsia="仿宋_GB2312"/>
              </w:rPr>
              <w:t>中小企业声明函 商务应答表 服务内容及服务要求应答表 报价表 资格证明文件.docx 响应文件封面 分项报价表.docx 残疾人福利性单位声明函 标的清单 响应函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中小企业声明函 商务应答表 服务内容及服务要求应答表 报价表 资格证明文件.docx 响应文件封面 分项报价表.docx 残疾人福利性单位声明函 标的清单 响应函 陕西省政府采购供应商拒绝政府采购领域商业贿赂承诺书.docx 服务方案.docx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对磋商文件响应</w:t>
            </w:r>
          </w:p>
        </w:tc>
        <w:tc>
          <w:tcPr>
            <w:tcW w:type="dxa" w:w="3322"/>
          </w:tcPr>
          <w:p>
            <w:pPr>
              <w:pStyle w:val="null3"/>
            </w:pPr>
            <w:r>
              <w:rPr>
                <w:rFonts w:ascii="仿宋_GB2312" w:hAnsi="仿宋_GB2312" w:cs="仿宋_GB2312" w:eastAsia="仿宋_GB2312"/>
              </w:rPr>
              <w:t>完全理解并接受对合格供应商、合格服务的要求，实质性要求完全响应且没有负偏离，不能有任何采购人不能接受的附加条件</w:t>
            </w:r>
          </w:p>
        </w:tc>
        <w:tc>
          <w:tcPr>
            <w:tcW w:type="dxa" w:w="1661"/>
          </w:tcPr>
          <w:p>
            <w:pPr>
              <w:pStyle w:val="null3"/>
            </w:pPr>
            <w:r>
              <w:rPr>
                <w:rFonts w:ascii="仿宋_GB2312" w:hAnsi="仿宋_GB2312" w:cs="仿宋_GB2312" w:eastAsia="仿宋_GB2312"/>
              </w:rPr>
              <w:t>中小企业声明函 商务应答表 服务内容及服务要求应答表 报价表 资格证明文件.docx 响应文件封面 分项报价表.docx 残疾人福利性单位声明函 标的清单 响应函 服务方案.docx 陕西省政府采购供应商拒绝政府采购领域商业贿赂承诺书.docx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1.评审内容：①项目背景；②项目需求；③工作方向解读。 2.评审标准：①全面性：掌握项目各项工作要求，内容全面完善。②准确性：了解项目真实情况；③针对性：能够紧扣项目实际情况，内容科学合理。 3.赋分标准：①项目背景：每完全满足一项评审标准得1分，满分3分；有一项缺陷扣0.5分。②项目需求：每完全满足一项评审标准得1分，满分3分；有一项缺陷扣0.5分；③工作方向解读：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1.评审内容：①服务内容②服务目标③服务计划④服务标准。 2.评审标准：①可实施性：实施步骤清晰、计划合理，可实施性强。②合理性：切合本项目实际情况，设计合理；③针对性：能够紧扣项目实际情况，内容科学合理。 3.赋分标准：①服务内容：每完全满足一项评审标准得1分，满分3分；有一项缺陷扣0.5分。②服务目标：每完全满足一项评审标准得1分，满分3分；有一项缺陷扣0.5分；③服务计划：每完全满足一项评审标准得1分，满分3分；有一项缺陷扣0.5分；④服务标准：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重难点应对方案</w:t>
            </w:r>
          </w:p>
        </w:tc>
        <w:tc>
          <w:tcPr>
            <w:tcW w:type="dxa" w:w="2492"/>
          </w:tcPr>
          <w:p>
            <w:pPr>
              <w:pStyle w:val="null3"/>
            </w:pPr>
            <w:r>
              <w:rPr>
                <w:rFonts w:ascii="仿宋_GB2312" w:hAnsi="仿宋_GB2312" w:cs="仿宋_GB2312" w:eastAsia="仿宋_GB2312"/>
              </w:rPr>
              <w:t>1. 评审内容：①针对本项目的重难点分析；②针对重难点分析后的合理化建议。 2. 评审标准：①完整性：方案须全面，对评审内容中的要求有详细描述及说明；②可实施性：切合本项目实际情况，实施步骤清晰、合理；③针对性：方案能够紧扣项目实际情况，内容科学合理。 3. 赋分标准：①针对本项目的重难点分析：每完全满足一项评审标准得1分，满分3分；有一项缺陷扣0.5分。②针对重难点分析后的合理化建议：每完全满足一项评审标准得1分，满分3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项目进度安排</w:t>
            </w:r>
          </w:p>
        </w:tc>
        <w:tc>
          <w:tcPr>
            <w:tcW w:type="dxa" w:w="2492"/>
          </w:tcPr>
          <w:p>
            <w:pPr>
              <w:pStyle w:val="null3"/>
            </w:pPr>
            <w:r>
              <w:rPr>
                <w:rFonts w:ascii="仿宋_GB2312" w:hAnsi="仿宋_GB2312" w:cs="仿宋_GB2312" w:eastAsia="仿宋_GB2312"/>
              </w:rPr>
              <w:t>1.评审内容：①进度计划安排②进度计划保障措施。 2.评审标准：①可实施性：实施步骤清晰、计划合理，可实施性强。②合理性：切合本项目实际情况，设计合理。 3.赋分标准：①进度计划安排：每完全满足一项评审标准得1分，满分2分；有一项缺陷扣0.5分。②进度计划保障措施：每完全满足一项评审标准得1分，满分2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1.评审内容：①质量管理体系②质量保障措施。 2.评审标准：①可实施性：实施步骤清晰、计划合理，可实施性强。②合理性：切合本项目实际情况，设计合理。 3.赋分标准：①质量管理体系：每完全满足一项评审标准得1分，满分2分；有一项缺陷扣0.5分。②质量保障措施：每完全满足一项评审标准得1分，满分2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1.评审内容：①保密管理制度②员工保密管理方案。 2.评审标准：①可实施性：实施步骤清晰、计划合理，可实施性强。②合理性：切合本项目实际情况，设计合理。 3.赋分标准：①质保密管理制度：每完全满足一项评审标准得1分，满分2分；有一项缺陷扣0.5分。②员工保密管理方案：每完全满足一项评审标准得1分，满分2分；有一项缺陷扣0.5分。（缺陷是指：内容粗略、逻辑混乱、描述过于简单、与项目特点不匹配、凭空编造、逻辑漏洞、出现常识性错误、存在不可能实现的夸大情形） 4.以上内容未提供得0分。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后期服务承诺</w:t>
            </w:r>
          </w:p>
        </w:tc>
        <w:tc>
          <w:tcPr>
            <w:tcW w:type="dxa" w:w="2492"/>
          </w:tcPr>
          <w:p>
            <w:pPr>
              <w:pStyle w:val="null3"/>
            </w:pPr>
            <w:r>
              <w:rPr>
                <w:rFonts w:ascii="仿宋_GB2312" w:hAnsi="仿宋_GB2312" w:cs="仿宋_GB2312" w:eastAsia="仿宋_GB2312"/>
              </w:rPr>
              <w:t>1.评审内容：①后期服务配合计划完备、可行性强，能满足采购人要求；②保证随叫随到，配合采购人提供相应的成果方案及相关材料；③配合采购人或上级主管部门完成成果核查、汇交入库等相关工作。 2.评审标准：每提供一个承诺得2分，最高得6分； 3.以上内容未提供得0分。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1、项目负责人：具有测绘及相关专业高级技术职称证书得5分；具有测绘及相关专业中级及以上技术职称证书或注册测绘师资格证书得2.5分。（响应文件中附职称证或注册证原件的扫描件，未提供不计分。） 2、拟派项目组成员（除项目负责人以外）具有测绘及相关专业高级技术职称证书的，每提供一个符合要求的人员得4分；具有测绘及相关专业技术职称证书或注册测绘师资格证书的，每提供一个符合要求的人员得2分，同一人员不重复计分；最高得20分。（响应文件中附相关注册证或职称证原件的扫描件，未提供或提供不全不计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供应商提供2023年1月1日至今类似项目业绩，1个得2.5分，最高10分。（以合同或协议签订日期为准，响应文件中附加盖公章的合同或协议复印件，否则不作为评审依据）</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价格分采用低价优先法计算，即满足竞争性磋商文件要求且最后报价最低的供应商的价格为评审基准价，其价格分为满分。其他供应商的价格分统一按照下列公式计算： 报价得分=（评审基准价/最后报价）×价格权值（即20%）×100（注：本项目为专门面向中小企业采购项目，不再执行价格评审优惠的扶持政策。）</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