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BA194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-26"/>
          <w:sz w:val="24"/>
          <w:szCs w:val="24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、项目概况</w:t>
      </w:r>
    </w:p>
    <w:p w14:paraId="46BA7E19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为保障史家湾“保回迁”交房工作顺利进行，并消除安全隐患，对花间路(新兴南路—咏尚路)道路红线以外东西两侧代征公共绿地范围内土方进行清运。</w:t>
      </w:r>
    </w:p>
    <w:p w14:paraId="3615466C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二、工程内容和施工地点</w:t>
      </w:r>
    </w:p>
    <w:p w14:paraId="368D013B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1、工程内容：花间路(新兴南路—咏尚路)道路红线以外东西两侧代征公共绿地范围内约9500立方米土方进行清运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本工程量为拟定数量，最终以实际工程量为准结算。</w:t>
      </w:r>
    </w:p>
    <w:p w14:paraId="74EE31F0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2、工程地点：花间路(新兴南路—咏尚路)道路红线以外东西两侧代征公共绿地。</w:t>
      </w:r>
    </w:p>
    <w:p w14:paraId="12DC1654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、施工要求</w:t>
      </w:r>
    </w:p>
    <w:p w14:paraId="1FB235FE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1、严格按照采购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要求，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规定时限内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完成土方清运工作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达到项目交地要求；施工现场无建筑垃圾残留，并达到陕西省、西安市关于治污减霾的相关规定，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施工期间严格执行国家现行的安全施工规范、规程、标准，不得发生违章、违规事件，不能因行为不当引起村民的纠纷投诉。</w:t>
      </w:r>
    </w:p>
    <w:p w14:paraId="0E04C2EE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根据《西安市扬尘污染防治条例》本次工程应考虑治污减霾和降尘费用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5ABE573E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对可能发生的零星工程，应适当考虑相应机械台班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000D25C0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、因施工范围较大，为保证施工安全有序进行，应派驻专人看管现场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6EC96AFF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、及时向采购人以书面形式汇报项目进度、工程量及安全情况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71E85DE3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、施工现场加强安全措施，并对施工人员进行安全教育，施工人员必须持证上岗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46F3A43D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、商务要求</w:t>
      </w:r>
    </w:p>
    <w:p w14:paraId="73035F89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1、含税完全综合单价最高限价：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土方清运单价100元/立方米。</w:t>
      </w:r>
    </w:p>
    <w:p w14:paraId="18FE820A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工期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：自合同签订之日起15日内完成项目。</w:t>
      </w:r>
    </w:p>
    <w:p w14:paraId="7C664B84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、款项结算：本工程无预付款，清运完成后，采购人确认无遗留问题，无信访维稳风险后，根据测量公司出具的正式测量报告进行验收后据实结算，支付款项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 w14:paraId="24F2A105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五、质量标准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</w:rPr>
        <w:t>符合国家及行业有关现行规范、标准的要求。</w:t>
      </w:r>
    </w:p>
    <w:p w14:paraId="6890DCC6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5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磋商报价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含税完全综合单价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&gt;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含税完全综合单价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最高限价或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总价&gt;预算金额时，即为无效文件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40AE44AF">
      <w:pPr>
        <w:ind w:firstLine="482" w:firstLineChars="200"/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2、供应商磋商报价不含土方测量费用。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541F9"/>
    <w:rsid w:val="68E5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2026-08-11T09:24:00Z</dcterms:created>
  <dc:creator>七安</dc:creator>
  <cp:lastModifiedBy>七安</cp:lastModifiedBy>
  <dcterms:modified xsi:type="dcterms:W3CDTF">2026-08-11T09:25:20Z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1575D5B962B84EE789D7AF5234756A64_11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