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版本号：CGZC-2026-127、XACH2026-10020260811001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雁鸣产业园花间路代征公共绿地范围内土方清运项目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CGZC-2026-127、XACH2026-100</w:t>
      </w:r>
      <w:r>
        <w:br/>
      </w:r>
      <w:r>
        <w:br/>
      </w:r>
      <w:r>
        <w:br/>
      </w:r>
    </w:p>
    <w:p>
      <w:pPr>
        <w:pStyle w:val="null3"/>
        <w:jc w:val="center"/>
        <w:outlineLvl w:val="2"/>
      </w:pPr>
      <w:r>
        <w:rPr>
          <w:rFonts w:ascii="仿宋_GB2312" w:hAnsi="仿宋_GB2312" w:cs="仿宋_GB2312" w:eastAsia="仿宋_GB2312"/>
          <w:sz w:val="28"/>
          <w:b/>
        </w:rPr>
        <w:t>西安浐灞国际港雁鸣生态产业园</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西安浐灞国际港雁鸣生态产业园</w:t>
      </w:r>
      <w:r>
        <w:rPr>
          <w:rFonts w:ascii="仿宋_GB2312" w:hAnsi="仿宋_GB2312" w:cs="仿宋_GB2312" w:eastAsia="仿宋_GB2312"/>
        </w:rPr>
        <w:t>委托，拟对</w:t>
      </w:r>
      <w:r>
        <w:rPr>
          <w:rFonts w:ascii="仿宋_GB2312" w:hAnsi="仿宋_GB2312" w:cs="仿宋_GB2312" w:eastAsia="仿宋_GB2312"/>
        </w:rPr>
        <w:t>雁鸣产业园花间路代征公共绿地范围内土方清运项目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CGZC-2026-127、XACH2026-100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雁鸣产业园花间路代征公共绿地范围内土方清运项目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雁鸣产业园花间路代征公共绿地范围内土方清运。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采购包1（雁鸣产业园花间路代征公共绿地范围内土方清运项目）：属于专门面向中小企业采购。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4、资质证书：供应商具备西安市建筑垃圾处置（运输）证；供应商需在项目电子化交易系统中按要求上传相应证明文件并进行电子签章。</w:t>
      </w:r>
    </w:p>
    <w:p>
      <w:pPr>
        <w:pStyle w:val="null3"/>
      </w:pPr>
      <w:r>
        <w:rPr>
          <w:rFonts w:ascii="仿宋_GB2312" w:hAnsi="仿宋_GB2312" w:cs="仿宋_GB2312" w:eastAsia="仿宋_GB2312"/>
        </w:rPr>
        <w:t>5、非联合体磋商：非联合体磋商声明;供应商需在项目电子化交易系统中按要求上传相应证明文件并进行电子签章。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西安浐灞国际港雁鸣生态产业园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西安浐灞国际港雁鸣生态产业园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029-89128916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支付代理服务费，代理服务费参照《国家计委关于印发&lt;招标代理服务收费管理暂行办法&gt;的通知》（计价格〔2002〕1980号）和发改办价格〔2003〕857号以及发改价格〔2011〕534号文中规定的标准执行，按差额定率累进法收取费用，100万以下按1.0%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西安浐灞国际港雁鸣生态产业园</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西安浐灞国际港雁鸣生态产业园</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西安浐灞国际港雁鸣生态产业园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联系电话：029-87563729</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雁鸣产业园花间路代征公共绿地范围内土方清运项目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标的名称：雁鸣产业园花间路代征公共绿地范围内土方清运项目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pPr>
            <w:r>
              <w:rPr>
                <w:rFonts w:ascii="仿宋_GB2312" w:hAnsi="仿宋_GB2312" w:cs="仿宋_GB2312" w:eastAsia="仿宋_GB2312"/>
                <w:sz w:val="24"/>
              </w:rPr>
              <w:t>为保障史家湾</w:t>
            </w:r>
            <w:r>
              <w:rPr>
                <w:rFonts w:ascii="仿宋_GB2312" w:hAnsi="仿宋_GB2312" w:cs="仿宋_GB2312" w:eastAsia="仿宋_GB2312"/>
                <w:sz w:val="24"/>
              </w:rPr>
              <w:t>“保回迁”交房工作顺利进行，并消除安全隐患，对花间路(新兴南路—咏尚路)道路红线以外东西两侧代征公共绿地范围内土方进行清运。</w:t>
            </w:r>
          </w:p>
          <w:p>
            <w:pPr>
              <w:pStyle w:val="null3"/>
            </w:pPr>
            <w:r>
              <w:rPr>
                <w:rFonts w:ascii="仿宋_GB2312" w:hAnsi="仿宋_GB2312" w:cs="仿宋_GB2312" w:eastAsia="仿宋_GB2312"/>
                <w:sz w:val="24"/>
                <w:b/>
              </w:rPr>
              <w:t>二、工程内容和施工地点</w:t>
            </w:r>
          </w:p>
          <w:p>
            <w:pPr>
              <w:pStyle w:val="null3"/>
            </w:pPr>
            <w:r>
              <w:rPr>
                <w:rFonts w:ascii="仿宋_GB2312" w:hAnsi="仿宋_GB2312" w:cs="仿宋_GB2312" w:eastAsia="仿宋_GB2312"/>
                <w:sz w:val="24"/>
              </w:rPr>
              <w:t>1、工程内容：花间路(新兴南路—咏尚路)道路红线以外东西两侧代征公共绿地范围内约9500立方米土方进行清运</w:t>
            </w:r>
            <w:r>
              <w:rPr>
                <w:rFonts w:ascii="仿宋_GB2312" w:hAnsi="仿宋_GB2312" w:cs="仿宋_GB2312" w:eastAsia="仿宋_GB2312"/>
                <w:sz w:val="24"/>
              </w:rPr>
              <w:t>，</w:t>
            </w:r>
            <w:r>
              <w:rPr>
                <w:rFonts w:ascii="仿宋_GB2312" w:hAnsi="仿宋_GB2312" w:cs="仿宋_GB2312" w:eastAsia="仿宋_GB2312"/>
                <w:sz w:val="24"/>
              </w:rPr>
              <w:t>本工程量为拟定数量，最终以实际工程量为准结算。</w:t>
            </w:r>
          </w:p>
          <w:p>
            <w:pPr>
              <w:pStyle w:val="null3"/>
            </w:pPr>
            <w:r>
              <w:rPr>
                <w:rFonts w:ascii="仿宋_GB2312" w:hAnsi="仿宋_GB2312" w:cs="仿宋_GB2312" w:eastAsia="仿宋_GB2312"/>
                <w:sz w:val="24"/>
              </w:rPr>
              <w:t>2、工程地点：花间路(新兴南路—咏尚路)道路红线以外东西两侧代征公共绿地。</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、施工要求</w:t>
            </w:r>
          </w:p>
          <w:p>
            <w:pPr>
              <w:pStyle w:val="null3"/>
            </w:pPr>
            <w:r>
              <w:rPr>
                <w:rFonts w:ascii="仿宋_GB2312" w:hAnsi="仿宋_GB2312" w:cs="仿宋_GB2312" w:eastAsia="仿宋_GB2312"/>
                <w:sz w:val="24"/>
              </w:rPr>
              <w:t>1、严格按照采购</w:t>
            </w:r>
            <w:r>
              <w:rPr>
                <w:rFonts w:ascii="仿宋_GB2312" w:hAnsi="仿宋_GB2312" w:cs="仿宋_GB2312" w:eastAsia="仿宋_GB2312"/>
                <w:sz w:val="24"/>
              </w:rPr>
              <w:t>人</w:t>
            </w:r>
            <w:r>
              <w:rPr>
                <w:rFonts w:ascii="仿宋_GB2312" w:hAnsi="仿宋_GB2312" w:cs="仿宋_GB2312" w:eastAsia="仿宋_GB2312"/>
                <w:sz w:val="24"/>
              </w:rPr>
              <w:t>要求，</w:t>
            </w:r>
            <w:r>
              <w:rPr>
                <w:rFonts w:ascii="仿宋_GB2312" w:hAnsi="仿宋_GB2312" w:cs="仿宋_GB2312" w:eastAsia="仿宋_GB2312"/>
                <w:sz w:val="24"/>
              </w:rPr>
              <w:t>在</w:t>
            </w:r>
            <w:r>
              <w:rPr>
                <w:rFonts w:ascii="仿宋_GB2312" w:hAnsi="仿宋_GB2312" w:cs="仿宋_GB2312" w:eastAsia="仿宋_GB2312"/>
                <w:sz w:val="24"/>
              </w:rPr>
              <w:t>规定时限内</w:t>
            </w:r>
            <w:r>
              <w:rPr>
                <w:rFonts w:ascii="仿宋_GB2312" w:hAnsi="仿宋_GB2312" w:cs="仿宋_GB2312" w:eastAsia="仿宋_GB2312"/>
                <w:sz w:val="24"/>
              </w:rPr>
              <w:t>完成土方清运工作</w:t>
            </w:r>
            <w:r>
              <w:rPr>
                <w:rFonts w:ascii="仿宋_GB2312" w:hAnsi="仿宋_GB2312" w:cs="仿宋_GB2312" w:eastAsia="仿宋_GB2312"/>
                <w:sz w:val="24"/>
              </w:rPr>
              <w:t>，</w:t>
            </w:r>
            <w:r>
              <w:rPr>
                <w:rFonts w:ascii="仿宋_GB2312" w:hAnsi="仿宋_GB2312" w:cs="仿宋_GB2312" w:eastAsia="仿宋_GB2312"/>
                <w:sz w:val="24"/>
              </w:rPr>
              <w:t>达到项目交地要求；施工现场无建筑垃圾残留，并达到陕西省、西安市关于治污减霾的相关规定，</w:t>
            </w:r>
            <w:r>
              <w:rPr>
                <w:rFonts w:ascii="仿宋_GB2312" w:hAnsi="仿宋_GB2312" w:cs="仿宋_GB2312" w:eastAsia="仿宋_GB2312"/>
                <w:sz w:val="24"/>
              </w:rPr>
              <w:t>施工期间严格执行国家现行的安全施工规范、规程、标准，不得发生违章、违规事件，不能因行为不当引起村民的纠纷投诉。</w:t>
            </w:r>
          </w:p>
          <w:p>
            <w:pPr>
              <w:pStyle w:val="null3"/>
            </w:pPr>
            <w:r>
              <w:rPr>
                <w:rFonts w:ascii="仿宋_GB2312" w:hAnsi="仿宋_GB2312" w:cs="仿宋_GB2312" w:eastAsia="仿宋_GB2312"/>
                <w:sz w:val="24"/>
              </w:rPr>
              <w:t>2、</w:t>
            </w:r>
            <w:r>
              <w:rPr>
                <w:rFonts w:ascii="仿宋_GB2312" w:hAnsi="仿宋_GB2312" w:cs="仿宋_GB2312" w:eastAsia="仿宋_GB2312"/>
                <w:sz w:val="24"/>
              </w:rPr>
              <w:t>根据《西安市扬尘污染防治条例》本次工程应考虑治污减霾和降尘费用</w:t>
            </w:r>
            <w:r>
              <w:rPr>
                <w:rFonts w:ascii="仿宋_GB2312" w:hAnsi="仿宋_GB2312" w:cs="仿宋_GB2312" w:eastAsia="仿宋_GB2312"/>
                <w:sz w:val="24"/>
              </w:rPr>
              <w:t>。</w:t>
            </w:r>
          </w:p>
          <w:p>
            <w:pPr>
              <w:pStyle w:val="null3"/>
            </w:pPr>
            <w:r>
              <w:rPr>
                <w:rFonts w:ascii="仿宋_GB2312" w:hAnsi="仿宋_GB2312" w:cs="仿宋_GB2312" w:eastAsia="仿宋_GB2312"/>
                <w:sz w:val="24"/>
              </w:rPr>
              <w:t>3、</w:t>
            </w:r>
            <w:r>
              <w:rPr>
                <w:rFonts w:ascii="仿宋_GB2312" w:hAnsi="仿宋_GB2312" w:cs="仿宋_GB2312" w:eastAsia="仿宋_GB2312"/>
                <w:sz w:val="24"/>
              </w:rPr>
              <w:t>对可能发生的零星工程，应适当考虑相应机械台班</w:t>
            </w:r>
            <w:r>
              <w:rPr>
                <w:rFonts w:ascii="仿宋_GB2312" w:hAnsi="仿宋_GB2312" w:cs="仿宋_GB2312" w:eastAsia="仿宋_GB2312"/>
                <w:sz w:val="24"/>
              </w:rPr>
              <w:t>。</w:t>
            </w:r>
          </w:p>
          <w:p>
            <w:pPr>
              <w:pStyle w:val="null3"/>
            </w:pPr>
            <w:r>
              <w:rPr>
                <w:rFonts w:ascii="仿宋_GB2312" w:hAnsi="仿宋_GB2312" w:cs="仿宋_GB2312" w:eastAsia="仿宋_GB2312"/>
                <w:sz w:val="24"/>
              </w:rPr>
              <w:t>4</w:t>
            </w:r>
            <w:r>
              <w:rPr>
                <w:rFonts w:ascii="仿宋_GB2312" w:hAnsi="仿宋_GB2312" w:cs="仿宋_GB2312" w:eastAsia="仿宋_GB2312"/>
                <w:sz w:val="24"/>
              </w:rPr>
              <w:t>、因施工范围较大，为保证施工安全有序进行，应派驻专人看管现场</w:t>
            </w:r>
            <w:r>
              <w:rPr>
                <w:rFonts w:ascii="仿宋_GB2312" w:hAnsi="仿宋_GB2312" w:cs="仿宋_GB2312" w:eastAsia="仿宋_GB2312"/>
                <w:sz w:val="24"/>
              </w:rPr>
              <w:t>。</w:t>
            </w:r>
          </w:p>
          <w:p>
            <w:pPr>
              <w:pStyle w:val="null3"/>
            </w:pPr>
            <w:r>
              <w:rPr>
                <w:rFonts w:ascii="仿宋_GB2312" w:hAnsi="仿宋_GB2312" w:cs="仿宋_GB2312" w:eastAsia="仿宋_GB2312"/>
                <w:sz w:val="24"/>
              </w:rPr>
              <w:t>5</w:t>
            </w:r>
            <w:r>
              <w:rPr>
                <w:rFonts w:ascii="仿宋_GB2312" w:hAnsi="仿宋_GB2312" w:cs="仿宋_GB2312" w:eastAsia="仿宋_GB2312"/>
                <w:sz w:val="24"/>
              </w:rPr>
              <w:t>、及时向采购人以书面形式汇报项目进度、工程量及安全情况</w:t>
            </w:r>
            <w:r>
              <w:rPr>
                <w:rFonts w:ascii="仿宋_GB2312" w:hAnsi="仿宋_GB2312" w:cs="仿宋_GB2312" w:eastAsia="仿宋_GB2312"/>
                <w:sz w:val="24"/>
              </w:rPr>
              <w:t>。</w:t>
            </w:r>
          </w:p>
          <w:p>
            <w:pPr>
              <w:pStyle w:val="null3"/>
            </w:pPr>
            <w:r>
              <w:rPr>
                <w:rFonts w:ascii="仿宋_GB2312" w:hAnsi="仿宋_GB2312" w:cs="仿宋_GB2312" w:eastAsia="仿宋_GB2312"/>
                <w:sz w:val="24"/>
              </w:rPr>
              <w:t>6</w:t>
            </w:r>
            <w:r>
              <w:rPr>
                <w:rFonts w:ascii="仿宋_GB2312" w:hAnsi="仿宋_GB2312" w:cs="仿宋_GB2312" w:eastAsia="仿宋_GB2312"/>
                <w:sz w:val="24"/>
              </w:rPr>
              <w:t>、施工现场加强安全措施，并对施工人员进行安全教育，施工人员必须持证上岗</w:t>
            </w:r>
            <w:r>
              <w:rPr>
                <w:rFonts w:ascii="仿宋_GB2312" w:hAnsi="仿宋_GB2312" w:cs="仿宋_GB2312" w:eastAsia="仿宋_GB2312"/>
                <w:sz w:val="24"/>
              </w:rPr>
              <w:t>。</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pPr>
            <w:r>
              <w:rPr>
                <w:rFonts w:ascii="仿宋_GB2312" w:hAnsi="仿宋_GB2312" w:cs="仿宋_GB2312" w:eastAsia="仿宋_GB2312"/>
                <w:sz w:val="24"/>
              </w:rPr>
              <w:t>1、含税完全综合单价最高限价：</w:t>
            </w:r>
            <w:r>
              <w:rPr>
                <w:rFonts w:ascii="仿宋_GB2312" w:hAnsi="仿宋_GB2312" w:cs="仿宋_GB2312" w:eastAsia="仿宋_GB2312"/>
                <w:sz w:val="24"/>
              </w:rPr>
              <w:t>土方清运单价</w:t>
            </w:r>
            <w:r>
              <w:rPr>
                <w:rFonts w:ascii="仿宋_GB2312" w:hAnsi="仿宋_GB2312" w:cs="仿宋_GB2312" w:eastAsia="仿宋_GB2312"/>
                <w:sz w:val="24"/>
              </w:rPr>
              <w:t>100元/立方米。</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工期</w:t>
            </w:r>
            <w:r>
              <w:rPr>
                <w:rFonts w:ascii="仿宋_GB2312" w:hAnsi="仿宋_GB2312" w:cs="仿宋_GB2312" w:eastAsia="仿宋_GB2312"/>
                <w:sz w:val="24"/>
              </w:rPr>
              <w:t>：自合同签订之日起</w:t>
            </w:r>
            <w:r>
              <w:rPr>
                <w:rFonts w:ascii="仿宋_GB2312" w:hAnsi="仿宋_GB2312" w:cs="仿宋_GB2312" w:eastAsia="仿宋_GB2312"/>
                <w:sz w:val="24"/>
              </w:rPr>
              <w:t>15日内完成项目。</w:t>
            </w:r>
          </w:p>
          <w:p>
            <w:pPr>
              <w:pStyle w:val="null3"/>
            </w:pPr>
            <w:r>
              <w:rPr>
                <w:rFonts w:ascii="仿宋_GB2312" w:hAnsi="仿宋_GB2312" w:cs="仿宋_GB2312" w:eastAsia="仿宋_GB2312"/>
                <w:sz w:val="24"/>
              </w:rPr>
              <w:t>3</w:t>
            </w:r>
            <w:r>
              <w:rPr>
                <w:rFonts w:ascii="仿宋_GB2312" w:hAnsi="仿宋_GB2312" w:cs="仿宋_GB2312" w:eastAsia="仿宋_GB2312"/>
                <w:sz w:val="24"/>
              </w:rPr>
              <w:t>、款项结算：本工程无预付款，清运完成后，采购人确认无遗留问题，无信访维稳风险后，根据测量公司出具的正式测量报告进行验收后据实结算，支付款项</w:t>
            </w:r>
            <w:r>
              <w:rPr>
                <w:rFonts w:ascii="仿宋_GB2312" w:hAnsi="仿宋_GB2312" w:cs="仿宋_GB2312" w:eastAsia="仿宋_GB2312"/>
                <w:sz w:val="24"/>
              </w:rPr>
              <w:t>。</w:t>
            </w:r>
          </w:p>
          <w:p>
            <w:pPr>
              <w:pStyle w:val="null3"/>
            </w:pPr>
            <w:r>
              <w:rPr>
                <w:rFonts w:ascii="仿宋_GB2312" w:hAnsi="仿宋_GB2312" w:cs="仿宋_GB2312" w:eastAsia="仿宋_GB2312"/>
                <w:sz w:val="24"/>
                <w:b/>
              </w:rPr>
              <w:t>五、质量标准</w:t>
            </w:r>
            <w:r>
              <w:rPr>
                <w:rFonts w:ascii="仿宋_GB2312" w:hAnsi="仿宋_GB2312" w:cs="仿宋_GB2312" w:eastAsia="仿宋_GB2312"/>
                <w:sz w:val="24"/>
                <w:b/>
              </w:rPr>
              <w:t>：</w:t>
            </w:r>
            <w:r>
              <w:rPr>
                <w:rFonts w:ascii="仿宋_GB2312" w:hAnsi="仿宋_GB2312" w:cs="仿宋_GB2312" w:eastAsia="仿宋_GB2312"/>
                <w:sz w:val="24"/>
              </w:rPr>
              <w:t>符合国家及行业有关现行规范、标准的要求。</w:t>
            </w:r>
          </w:p>
          <w:p>
            <w:pPr>
              <w:pStyle w:val="null3"/>
            </w:pPr>
            <w:r>
              <w:rPr>
                <w:rFonts w:ascii="仿宋_GB2312" w:hAnsi="仿宋_GB2312" w:cs="仿宋_GB2312" w:eastAsia="仿宋_GB2312"/>
                <w:sz w:val="24"/>
                <w:b/>
              </w:rPr>
              <w:t>注：</w:t>
            </w:r>
            <w:r>
              <w:rPr>
                <w:rFonts w:ascii="仿宋_GB2312" w:hAnsi="仿宋_GB2312" w:cs="仿宋_GB2312" w:eastAsia="仿宋_GB2312"/>
                <w:sz w:val="24"/>
                <w:b/>
              </w:rPr>
              <w:t>1、</w:t>
            </w:r>
            <w:r>
              <w:rPr>
                <w:rFonts w:ascii="仿宋_GB2312" w:hAnsi="仿宋_GB2312" w:cs="仿宋_GB2312" w:eastAsia="仿宋_GB2312"/>
                <w:sz w:val="24"/>
                <w:b/>
              </w:rPr>
              <w:t>供应商</w:t>
            </w:r>
            <w:r>
              <w:rPr>
                <w:rFonts w:ascii="仿宋_GB2312" w:hAnsi="仿宋_GB2312" w:cs="仿宋_GB2312" w:eastAsia="仿宋_GB2312"/>
                <w:sz w:val="24"/>
                <w:b/>
              </w:rPr>
              <w:t>磋商报价</w:t>
            </w:r>
            <w:r>
              <w:rPr>
                <w:rFonts w:ascii="仿宋_GB2312" w:hAnsi="仿宋_GB2312" w:cs="仿宋_GB2312" w:eastAsia="仿宋_GB2312"/>
                <w:sz w:val="24"/>
                <w:b/>
              </w:rPr>
              <w:t>含税完全综合单价</w:t>
            </w:r>
            <w:r>
              <w:rPr>
                <w:rFonts w:ascii="仿宋_GB2312" w:hAnsi="仿宋_GB2312" w:cs="仿宋_GB2312" w:eastAsia="仿宋_GB2312"/>
                <w:sz w:val="24"/>
                <w:b/>
              </w:rPr>
              <w:t>&gt;</w:t>
            </w:r>
            <w:r>
              <w:rPr>
                <w:rFonts w:ascii="仿宋_GB2312" w:hAnsi="仿宋_GB2312" w:cs="仿宋_GB2312" w:eastAsia="仿宋_GB2312"/>
                <w:sz w:val="24"/>
                <w:b/>
              </w:rPr>
              <w:t>含税完全综合单价</w:t>
            </w:r>
            <w:r>
              <w:rPr>
                <w:rFonts w:ascii="仿宋_GB2312" w:hAnsi="仿宋_GB2312" w:cs="仿宋_GB2312" w:eastAsia="仿宋_GB2312"/>
                <w:sz w:val="24"/>
                <w:b/>
              </w:rPr>
              <w:t>最高限价或</w:t>
            </w:r>
            <w:r>
              <w:rPr>
                <w:rFonts w:ascii="仿宋_GB2312" w:hAnsi="仿宋_GB2312" w:cs="仿宋_GB2312" w:eastAsia="仿宋_GB2312"/>
                <w:sz w:val="24"/>
                <w:b/>
              </w:rPr>
              <w:t>磋商</w:t>
            </w:r>
            <w:r>
              <w:rPr>
                <w:rFonts w:ascii="仿宋_GB2312" w:hAnsi="仿宋_GB2312" w:cs="仿宋_GB2312" w:eastAsia="仿宋_GB2312"/>
                <w:sz w:val="24"/>
                <w:b/>
              </w:rPr>
              <w:t>总价</w:t>
            </w:r>
            <w:r>
              <w:rPr>
                <w:rFonts w:ascii="仿宋_GB2312" w:hAnsi="仿宋_GB2312" w:cs="仿宋_GB2312" w:eastAsia="仿宋_GB2312"/>
                <w:sz w:val="24"/>
                <w:b/>
              </w:rPr>
              <w:t>&gt;预算金额时，即为无效文件</w:t>
            </w:r>
            <w:r>
              <w:rPr>
                <w:rFonts w:ascii="仿宋_GB2312" w:hAnsi="仿宋_GB2312" w:cs="仿宋_GB2312" w:eastAsia="仿宋_GB2312"/>
                <w:sz w:val="24"/>
                <w:b/>
              </w:rPr>
              <w:t>。</w:t>
            </w:r>
          </w:p>
          <w:p>
            <w:pPr>
              <w:pStyle w:val="null3"/>
            </w:pPr>
            <w:r>
              <w:rPr>
                <w:rFonts w:ascii="仿宋_GB2312" w:hAnsi="仿宋_GB2312" w:cs="仿宋_GB2312" w:eastAsia="仿宋_GB2312"/>
                <w:sz w:val="24"/>
                <w:b/>
              </w:rPr>
              <w:t xml:space="preserve">    2、供应商磋商报价不含土方测量费用。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《安全生产法》 《建设工程安全生产管理条例》 《西安市扬尘污染防治条例》 《西安市建筑垃圾管理办法》 根据建设部发布的《工程建设强制性条文》及其它相关专业规范及行业标准。 以上规范、标准如遇调整或最新规范时，以调整后或最新规范内容为准。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①付款方式：本工程无预付款，清运完成后，采购人确认无遗留问题，无信访维稳风险后，根据测量公司出具的正式测量报告进行验收后据实结算，支付款项。 ②付款依据：合同、磋商文件、磋商响应文件、工程量确认单、采购人出具的验收报告、供应商提供的发票及付款申请。 3.3.2本项目磋商报价为完成本项目磋商文件中所提出的工作范围及要求的全部内容，并达到国家及采购人验收标准而产生的所有费用，磋商报价包括但不限于以下内容：包括但不限于人工费、材料费、机械费、垃圾消纳费、管理费、招标代理服务费、利润、规费、税金、风险、工程保险费、措施费、验收等完成本项目内容所产生的一切费用。任何错报、漏报由供应商自行负责。 3.3.3本项目属于专门面向中小企业采购，供应商应为中小企业或监狱企业或残疾人福利性单位。采购标的对应的中小企业划分标准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3.3.4成交人领取成交通知书时须向代理机构提交纸质版磋商响应文件：正本壹份、副本贰份、电子版（U盘）贰份。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供应商具备西安市建筑垃圾处置（运输）证；供应商需在项目电子化交易系统中按要求上传相应证明文件并进行电子签章。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已标价工程量清单 报价函 标的清单 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报价一览表..docx 响应文件封面 资格证明文件 政府采购供应商拒绝政府采购领域商业贿赂承诺书 残疾人福利性单位声明函 报价函 技术标..docx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供应商针对同一工程未递交两份或多份内容不同的响应文件，未出现选择性报价；</w:t>
            </w:r>
          </w:p>
        </w:tc>
        <w:tc>
          <w:tcPr>
            <w:tcW w:type="dxa" w:w="1661"/>
          </w:tcPr>
          <w:p>
            <w:pPr>
              <w:pStyle w:val="null3"/>
            </w:pPr>
            <w:r>
              <w:rPr>
                <w:rFonts w:ascii="仿宋_GB2312" w:hAnsi="仿宋_GB2312" w:cs="仿宋_GB2312" w:eastAsia="仿宋_GB2312"/>
              </w:rPr>
              <w:t>已标价工程量清单 报价函 标的清单 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报价一览表..docx 响应文件封面 资格证明文件 政府采购供应商拒绝政府采购领域商业贿赂承诺书 残疾人福利性单位声明函 报价函 技术标..docx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报价一览表..docx 响应文件封面 资格证明文件 政府采购供应商拒绝政府采购领域商业贿赂承诺书 残疾人福利性单位声明函 报价函 技术标..docx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报价一览表..docx 响应文件封面 资格证明文件 政府采购供应商拒绝政府采购领域商业贿赂承诺书 残疾人福利性单位声明函 报价函 技术标..docx 标的清单 供应商承诺书 响应函 业绩证明文件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报价一览表..docx 响应文件封面 资格证明文件 政府采购供应商拒绝政府采购领域商业贿赂承诺书 残疾人福利性单位声明函 报价函 技术标..docx 标的清单 供应商承诺书 响应函 业绩证明文件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供应商针对本项目提供具体可行的施工方案，内容包括：①土方工程量与开挖清运方案；②运输路线、消纳场方案；③扰民纠纷投诉、问题整改方案。 二、评审标准 1.完整性：方案须全面，对评审内容中的各项要求有详细描述； 2.可实施性：切合本项目实际情况，实施步骤清晰、合理； 3.针对性：方案能够紧扣项目实际情况，内容科学合理。 三、赋分标准 ①土方工程量与开挖清运方案：每完全满足一项评审标准计1分，满分3分。 ②运输路线、消纳场方案：每完全满足一项评审标准计1分，满分3分。 ③扰民纠纷投诉、问题整改方案：每完全满足一项评审标准计1分，满分3分。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拟投入的人员配置</w:t>
            </w:r>
          </w:p>
        </w:tc>
        <w:tc>
          <w:tcPr>
            <w:tcW w:type="dxa" w:w="2492"/>
          </w:tcPr>
          <w:p>
            <w:pPr>
              <w:pStyle w:val="null3"/>
            </w:pPr>
            <w:r>
              <w:rPr>
                <w:rFonts w:ascii="仿宋_GB2312" w:hAnsi="仿宋_GB2312" w:cs="仿宋_GB2312" w:eastAsia="仿宋_GB2312"/>
              </w:rPr>
              <w:t>一、评审内容 根据本项目拟投入的人员进行评审，内容包括：①人员配备数量及清单；②人员职责与分工明确；③人员专业性及工作经验。 二、评审标准 1.完整性：方案须全面，对评审内容中的各项要求有详细描述； 2.可实施性：切合本项目实际情况，实施步骤清晰、合理； 3.针对性：方案能够紧扣项目实际情况，内容科学合理。 三、赋分标准 ①人员配备数量及清单：每完全满足一项评审标准计1分，满分3分。 ②人员职责与分工明确：每完全满足一项评审标准计1分，满分3分。 ③人员专业性及工作经验：每完全满足一项评审标准1分，满分3分。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施工机械及工器具、车辆的配备情况</w:t>
            </w:r>
          </w:p>
        </w:tc>
        <w:tc>
          <w:tcPr>
            <w:tcW w:type="dxa" w:w="2492"/>
          </w:tcPr>
          <w:p>
            <w:pPr>
              <w:pStyle w:val="null3"/>
            </w:pPr>
            <w:r>
              <w:rPr>
                <w:rFonts w:ascii="仿宋_GB2312" w:hAnsi="仿宋_GB2312" w:cs="仿宋_GB2312" w:eastAsia="仿宋_GB2312"/>
              </w:rPr>
              <w:t>一、评审内容 供应商根据本项目提供施工机械及工器具、车辆的配备情况，内容包括：①施工机械及工器具配备清单、车辆清单；②车辆产权证明或租赁合同、保险、发票等资料。 二、评审标准 1.完整性：方案须全面，对评审内容中的各项要求有详细描述； 2.可实施性：切合本项目实际情况，实施步骤清晰、合理； 3.针对性：方案能够紧扣项目实际情况，内容科学合理。 三、赋分标准 ①施工机械及工器具配备清单、车辆清单：每完全满足一项评审标准计1分，满分3分。 ②车辆产权证明或租赁合同、保险、发票等资料：每完全满足一项评审标准计1分，满分3分。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一、评审内容 供应商针对本项目提供确保工程质量的技术组织措施，内容包括：①质量目标管理体系；②施工质量的检验制度；③确保质量的技术组织措施及控制措施。 二、评审标准 1.完整性：方案须全面，对评审内容中的各项要求有详细描述； 2.可实施性：切合本项目实际情况，实施步骤清晰、合理； 3.针对性：方案能够紧扣项目实际情况，内容科学合理。 三、赋分标准 ①质量目标管理体系：每完全满足一项评审标准计1分，满分3分。 ②施工质量的检验制度：每完全满足一项评审标准计1分，满分3分。 ③确保质量的技术组织措施及控制措施：每完全满足一项评审标准计1分，满分3分。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治污减霾和防尘污染的技术组织措施</w:t>
            </w:r>
          </w:p>
        </w:tc>
        <w:tc>
          <w:tcPr>
            <w:tcW w:type="dxa" w:w="2492"/>
          </w:tcPr>
          <w:p>
            <w:pPr>
              <w:pStyle w:val="null3"/>
            </w:pPr>
            <w:r>
              <w:rPr>
                <w:rFonts w:ascii="仿宋_GB2312" w:hAnsi="仿宋_GB2312" w:cs="仿宋_GB2312" w:eastAsia="仿宋_GB2312"/>
              </w:rPr>
              <w:t>一、评审内容 供应商针对本项目提供具体可行的治污减霾和防尘污染的技术组织措施，内容包括：①施工污染防治措施；②施工噪声污染防治措施；③施工固废（危废）污染防治措施。 二、评审标准 1.完整性：方案须全面，对评审内容中的各项要求有详细描述； 2.可实施性：切合本项目实际情况，实施步骤清晰、合理； 3.针对性：方案能够紧扣项目实际情况，内容科学合理。 三、赋分标准 ①施工污染防治措施：每完全满足一项评审标准计1分，满分3分。 ②施工噪声污染防治措施：每完全满足一项评审标准计1分，满分3分。 ③施工固废（危废）污染防治措施：每完全满足一项评审标准计1分，满分3分。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安全生产和文明施工的技术组织措施</w:t>
            </w:r>
          </w:p>
        </w:tc>
        <w:tc>
          <w:tcPr>
            <w:tcW w:type="dxa" w:w="2492"/>
          </w:tcPr>
          <w:p>
            <w:pPr>
              <w:pStyle w:val="null3"/>
            </w:pPr>
            <w:r>
              <w:rPr>
                <w:rFonts w:ascii="仿宋_GB2312" w:hAnsi="仿宋_GB2312" w:cs="仿宋_GB2312" w:eastAsia="仿宋_GB2312"/>
              </w:rPr>
              <w:t>一、评审内容 供应商针对本项目提供确保安全生产和文明施工的技术组织措施，内容包括：①安全生产管理制度体系及安全生产教育；②安全施工措施。 二、评审标准 1.完整性：方案须全面，对评审内容中的各项要求有详细描述； 2.可实施性：切合本项目实际情况，实施步骤清晰、合理； 3.针对性：方案能够紧扣项目实际情况，内容科学合理。 三、赋分标准 ①安全生产管理制度体系及安全生产教育：每完全满足一项评审标准计1分，满分3分。 ②安全施工措施：每完全满足一项评审标准计1分，满分3分。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 供应商针对本项目提供施工进度保证措施，内容包括：①总体实施进度安排；②进度保障措施。 二、评审标准 1.完整性：方案须全面，对评审内容中的各项要求有详细描述； 2.可实施性：切合本项目实际情况，实施步骤清晰、合理； 3.针对性：方案能够紧扣项目实际情况，内容科学合理。 三、赋分标准 ①总体实施进度安排：每完全满足一项评审标准计1分，满分3分。 ②进度保障措施：每完全满足一项评审标准计1分，满分3分。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一、评审内容 针对本项目可能出现的问题及重大事故，供应商有具体可行的应急措施和解决方案，内容包括：①响应时间及人员安排；②各类事故应急处置预案。 二、评审标准 1.完整性：方案须全面，对评审内容中的各项要求有详细描述； 2.可实施性：切合本项目实际情况，实施步骤清晰、合理； 3.针对性：方案能够紧扣项目实际情况，内容科学合理。 三、赋分标准 ①响应时间及人员安排：每完全满足一项评审标准计1分，满分3分。 ②各类事故应急处置预案：每完全满足一项评审标准计1分，满分3分。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提供供应商2023年以来类似项目业绩合同（以合同签订时间为准），每份计2分，满分10分。（注：以上证明文件在磋商响应文件中附业绩合同扫描件并加盖公章）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详见附件：技术标..docx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