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版本号：ZZHC-2026-29.2B120260825001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澄城县2026年度大中型水库移民后期扶持第一批次项目(二次)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ZZHC-2026-29.2B1</w:t>
      </w:r>
      <w:r>
        <w:br/>
      </w:r>
      <w:r>
        <w:br/>
      </w:r>
      <w:r>
        <w:br/>
      </w:r>
    </w:p>
    <w:p>
      <w:pPr>
        <w:pStyle w:val="null3"/>
        <w:jc w:val="center"/>
        <w:outlineLvl w:val="2"/>
      </w:pPr>
      <w:r>
        <w:rPr>
          <w:rFonts w:ascii="仿宋_GB2312" w:hAnsi="仿宋_GB2312" w:cs="仿宋_GB2312" w:eastAsia="仿宋_GB2312"/>
          <w:sz w:val="28"/>
          <w:b/>
        </w:rPr>
        <w:t>澄城县移民发展中心</w:t>
      </w:r>
    </w:p>
    <w:p>
      <w:pPr>
        <w:pStyle w:val="null3"/>
        <w:jc w:val="center"/>
        <w:outlineLvl w:val="2"/>
      </w:pPr>
      <w:r>
        <w:rPr>
          <w:rFonts w:ascii="仿宋_GB2312" w:hAnsi="仿宋_GB2312" w:cs="仿宋_GB2312" w:eastAsia="仿宋_GB2312"/>
          <w:sz w:val="28"/>
          <w:b/>
        </w:rPr>
        <w:t>陕西中治宏成项目管理有限公司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澄城县移民发展中心</w:t>
      </w:r>
      <w:r>
        <w:rPr>
          <w:rFonts w:ascii="仿宋_GB2312" w:hAnsi="仿宋_GB2312" w:cs="仿宋_GB2312" w:eastAsia="仿宋_GB2312"/>
        </w:rPr>
        <w:t>委托，拟对</w:t>
      </w:r>
      <w:r>
        <w:rPr>
          <w:rFonts w:ascii="仿宋_GB2312" w:hAnsi="仿宋_GB2312" w:cs="仿宋_GB2312" w:eastAsia="仿宋_GB2312"/>
        </w:rPr>
        <w:t>澄城县2026年度大中型水库移民后期扶持第一批次项目(二次)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ZZHC-2026-29.2B1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澄城县2026年度大中型水库移民后期扶持第一批次项目(二次)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①西习村：加宽18cm厚C25混凝土路面1108㎡，安装砼道牙1750m，更换球墨铸铁井框盖85套。 ②杜家洼村：铺设5cm厚沥青面层1351㎡，砼路面坑槽修补110㎡，硬化18cm厚C25混凝土路面132㎡，加宽18cm厚C25混凝土路面170㎡，室外地坪铺装580㎡。 ③陈家醍醐村：陈家醍醐村：安装6米高80w太阳能路灯54盏；林川村：安装6米高80w太阳能路灯20盏；刘家洼村：安装6米高80w太阳能路灯10盏；程家洼村：安装6米高80w太阳能路灯28盏。及配套绿化苗木等；雷庄村：新建DN400砼排水管153m，检查井4座，雨水口4个，DN200PVC排水管33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采购包1（澄城县寺前镇西习村、赵庄镇杜家洼村、陈家醍醐等五村美丽家园建设项目）：属于专门面向中小企业采购。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3、财务审计报告：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p>
      <w:pPr>
        <w:pStyle w:val="null3"/>
      </w:pPr>
      <w:r>
        <w:rPr>
          <w:rFonts w:ascii="仿宋_GB2312" w:hAnsi="仿宋_GB2312" w:cs="仿宋_GB2312" w:eastAsia="仿宋_GB2312"/>
        </w:rPr>
        <w:t>4、税收缴纳证明：提供2026年1月至今任意一个月的纳税证明或完税证明，纳税证明或完税证明上应有代收机构或税务机关的公章或业务专用章。依法免税的供应商应提供相关文件证明；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自2026年1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6、具有履行合同所必需的设备和专业技术能力：提供具有履行合同所必需的设备和专业技术能力的说明及承诺；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7、参加政府采购活动前三年内在经营活动中没有重大违法记录：提供参加政府采购活动前三年内在经营活动中没有重大违法记录的书面声明；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9、供应商资质：具有建筑工程施工总承包三级（含三级）或市政公用工程总承包三级（含三级）及以上资质，且具有有效的安全生产许可证；</w:t>
      </w:r>
    </w:p>
    <w:p>
      <w:pPr>
        <w:pStyle w:val="null3"/>
      </w:pPr>
      <w:r>
        <w:rPr>
          <w:rFonts w:ascii="仿宋_GB2312" w:hAnsi="仿宋_GB2312" w:cs="仿宋_GB2312" w:eastAsia="仿宋_GB2312"/>
        </w:rPr>
        <w:t>10、项目经理：拟派项目经理须具有建筑工程专业二级或市政工程专业二级及以上注册建造师证书及有效的安全生产考核合格证书（B 证），且未担任其他在建工程的项目经理；</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澄城县移民发展中心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0913-6868391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陕西省西安市国家民用航天产业基地东长安街航天新天地三号楼 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采购包1：1,054,300.00元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开户名称：陕西中治宏成项目管理有限公司</w:t>
            </w:r>
          </w:p>
          <w:p>
            <w:pPr>
              <w:pStyle w:val="null3"/>
            </w:pPr>
            <w:r>
              <w:rPr>
                <w:rFonts w:ascii="仿宋_GB2312" w:hAnsi="仿宋_GB2312" w:cs="仿宋_GB2312" w:eastAsia="仿宋_GB2312"/>
              </w:rPr>
              <w:t>开户银行：中国建设银行股份有限公司西安雁塔南路南段支行</w:t>
            </w:r>
          </w:p>
          <w:p>
            <w:pPr>
              <w:pStyle w:val="null3"/>
            </w:pPr>
            <w:r>
              <w:rPr>
                <w:rFonts w:ascii="仿宋_GB2312" w:hAnsi="仿宋_GB2312" w:cs="仿宋_GB2312" w:eastAsia="仿宋_GB2312"/>
              </w:rPr>
              <w:t>银行账号：61050111583800000354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代理服务费：代理服务费参照国家计委关于印发《招标代理服务收费管理暂行办法》的通知（计价格〔2002〕1980号）、《国家发展和改革委员会办公厅关于招标代理服务收费有关问题的通知》（发改办价格〔2003〕857号）文件计取。 （2）、代理服务费的交纳方式：由中标（成交）供应商在领取成交通知书前向招标代理机构一次性支付； 开户行名称：陕西中治宏成项目管理有限公司 开户银行：中国建设银行股份有限公司西安雁塔南路南段支行 账 号：61050111583800000354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澄城县移民发展中心</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澄城县移民发展中心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澄城县移民发展中心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供应商自有工法、专利归其所有，采购人可在本项目无偿使用；第三方知识产权由供应商取得合法授权，相关费用包含在合同总价内。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按照国家现行工程规范、施工图纸、工程量清单及政府采购合同约定进行验收，工程质量达到合格标准。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联系人：袁佩侠</w:t>
      </w:r>
    </w:p>
    <w:p>
      <w:pPr>
        <w:pStyle w:val="null3"/>
      </w:pPr>
      <w:r>
        <w:rPr>
          <w:rFonts w:ascii="仿宋_GB2312" w:hAnsi="仿宋_GB2312" w:cs="仿宋_GB2312" w:eastAsia="仿宋_GB2312"/>
        </w:rPr>
        <w:t>联系电话：18191935656</w:t>
      </w:r>
    </w:p>
    <w:p>
      <w:pPr>
        <w:pStyle w:val="null3"/>
      </w:pPr>
      <w:r>
        <w:rPr>
          <w:rFonts w:ascii="仿宋_GB2312" w:hAnsi="仿宋_GB2312" w:cs="仿宋_GB2312" w:eastAsia="仿宋_GB2312"/>
        </w:rPr>
        <w:t>地址：陕西中治宏成项目管理有限公司（澄城县长宁街五路原种子管理站二楼综合办公室）</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1,054,300.00</w:t>
      </w:r>
    </w:p>
    <w:p>
      <w:pPr>
        <w:pStyle w:val="null3"/>
      </w:pPr>
      <w:r>
        <w:rPr>
          <w:rFonts w:ascii="仿宋_GB2312" w:hAnsi="仿宋_GB2312" w:cs="仿宋_GB2312" w:eastAsia="仿宋_GB2312"/>
        </w:rPr>
        <w:t>采购包最高限价（元）: 1,054,236.79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澄城县寺前镇西习村、赵庄镇杜家洼村、陈家醍醐等五村美丽家园建设项目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1,054,300.00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标的名称：澄城县寺前镇西习村、赵庄镇杜家洼村、陈家醍醐等五村美丽家园建设项目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项目概况</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、项目内容</w:t>
            </w:r>
            <w:r>
              <w:rPr>
                <w:rFonts w:ascii="仿宋_GB2312" w:hAnsi="仿宋_GB2312" w:cs="仿宋_GB2312" w:eastAsia="仿宋_GB2312"/>
                <w:sz w:val="24"/>
                <w:b/>
              </w:rPr>
              <w:t>：</w:t>
            </w:r>
            <w:r>
              <w:rPr>
                <w:rFonts w:ascii="仿宋_GB2312" w:hAnsi="仿宋_GB2312" w:cs="仿宋_GB2312" w:eastAsia="仿宋_GB2312"/>
                <w:sz w:val="24"/>
              </w:rPr>
              <w:t>①西习村：加宽</w:t>
            </w:r>
            <w:r>
              <w:rPr>
                <w:rFonts w:ascii="仿宋_GB2312" w:hAnsi="仿宋_GB2312" w:cs="仿宋_GB2312" w:eastAsia="仿宋_GB2312"/>
                <w:sz w:val="24"/>
              </w:rPr>
              <w:t>18cm</w:t>
            </w:r>
            <w:r>
              <w:rPr>
                <w:rFonts w:ascii="仿宋_GB2312" w:hAnsi="仿宋_GB2312" w:cs="仿宋_GB2312" w:eastAsia="仿宋_GB2312"/>
                <w:sz w:val="24"/>
              </w:rPr>
              <w:t>厚</w:t>
            </w:r>
            <w:r>
              <w:rPr>
                <w:rFonts w:ascii="仿宋_GB2312" w:hAnsi="仿宋_GB2312" w:cs="仿宋_GB2312" w:eastAsia="仿宋_GB2312"/>
                <w:sz w:val="24"/>
              </w:rPr>
              <w:t>C25</w:t>
            </w:r>
            <w:r>
              <w:rPr>
                <w:rFonts w:ascii="仿宋_GB2312" w:hAnsi="仿宋_GB2312" w:cs="仿宋_GB2312" w:eastAsia="仿宋_GB2312"/>
                <w:sz w:val="24"/>
              </w:rPr>
              <w:t>混凝土路面</w:t>
            </w:r>
            <w:r>
              <w:rPr>
                <w:rFonts w:ascii="仿宋_GB2312" w:hAnsi="仿宋_GB2312" w:cs="仿宋_GB2312" w:eastAsia="仿宋_GB2312"/>
                <w:sz w:val="24"/>
              </w:rPr>
              <w:t>1108</w:t>
            </w:r>
            <w:r>
              <w:rPr>
                <w:rFonts w:ascii="仿宋_GB2312" w:hAnsi="仿宋_GB2312" w:cs="仿宋_GB2312" w:eastAsia="仿宋_GB2312"/>
                <w:sz w:val="24"/>
              </w:rPr>
              <w:t>㎡，安装砼道牙</w:t>
            </w:r>
            <w:r>
              <w:rPr>
                <w:rFonts w:ascii="仿宋_GB2312" w:hAnsi="仿宋_GB2312" w:cs="仿宋_GB2312" w:eastAsia="仿宋_GB2312"/>
                <w:sz w:val="24"/>
              </w:rPr>
              <w:t>1750m</w:t>
            </w:r>
            <w:r>
              <w:rPr>
                <w:rFonts w:ascii="仿宋_GB2312" w:hAnsi="仿宋_GB2312" w:cs="仿宋_GB2312" w:eastAsia="仿宋_GB2312"/>
                <w:sz w:val="24"/>
              </w:rPr>
              <w:t>，更换球墨铸铁井框盖</w:t>
            </w:r>
            <w:r>
              <w:rPr>
                <w:rFonts w:ascii="仿宋_GB2312" w:hAnsi="仿宋_GB2312" w:cs="仿宋_GB2312" w:eastAsia="仿宋_GB2312"/>
                <w:sz w:val="24"/>
              </w:rPr>
              <w:t>85</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②杜家洼村：铺设</w:t>
            </w:r>
            <w:r>
              <w:rPr>
                <w:rFonts w:ascii="仿宋_GB2312" w:hAnsi="仿宋_GB2312" w:cs="仿宋_GB2312" w:eastAsia="仿宋_GB2312"/>
                <w:sz w:val="24"/>
              </w:rPr>
              <w:t>5cm</w:t>
            </w:r>
            <w:r>
              <w:rPr>
                <w:rFonts w:ascii="仿宋_GB2312" w:hAnsi="仿宋_GB2312" w:cs="仿宋_GB2312" w:eastAsia="仿宋_GB2312"/>
                <w:sz w:val="24"/>
              </w:rPr>
              <w:t>厚沥青面层</w:t>
            </w:r>
            <w:r>
              <w:rPr>
                <w:rFonts w:ascii="仿宋_GB2312" w:hAnsi="仿宋_GB2312" w:cs="仿宋_GB2312" w:eastAsia="仿宋_GB2312"/>
                <w:sz w:val="24"/>
              </w:rPr>
              <w:t>1351</w:t>
            </w:r>
            <w:r>
              <w:rPr>
                <w:rFonts w:ascii="仿宋_GB2312" w:hAnsi="仿宋_GB2312" w:cs="仿宋_GB2312" w:eastAsia="仿宋_GB2312"/>
                <w:sz w:val="24"/>
              </w:rPr>
              <w:t>㎡，砼路面坑槽修补</w:t>
            </w:r>
            <w:r>
              <w:rPr>
                <w:rFonts w:ascii="仿宋_GB2312" w:hAnsi="仿宋_GB2312" w:cs="仿宋_GB2312" w:eastAsia="仿宋_GB2312"/>
                <w:sz w:val="24"/>
              </w:rPr>
              <w:t>110</w:t>
            </w:r>
            <w:r>
              <w:rPr>
                <w:rFonts w:ascii="仿宋_GB2312" w:hAnsi="仿宋_GB2312" w:cs="仿宋_GB2312" w:eastAsia="仿宋_GB2312"/>
                <w:sz w:val="24"/>
              </w:rPr>
              <w:t>㎡，硬化</w:t>
            </w:r>
            <w:r>
              <w:rPr>
                <w:rFonts w:ascii="仿宋_GB2312" w:hAnsi="仿宋_GB2312" w:cs="仿宋_GB2312" w:eastAsia="仿宋_GB2312"/>
                <w:sz w:val="24"/>
              </w:rPr>
              <w:t>18cm</w:t>
            </w:r>
            <w:r>
              <w:rPr>
                <w:rFonts w:ascii="仿宋_GB2312" w:hAnsi="仿宋_GB2312" w:cs="仿宋_GB2312" w:eastAsia="仿宋_GB2312"/>
                <w:sz w:val="24"/>
              </w:rPr>
              <w:t>厚</w:t>
            </w:r>
            <w:r>
              <w:rPr>
                <w:rFonts w:ascii="仿宋_GB2312" w:hAnsi="仿宋_GB2312" w:cs="仿宋_GB2312" w:eastAsia="仿宋_GB2312"/>
                <w:sz w:val="24"/>
              </w:rPr>
              <w:t>C25</w:t>
            </w:r>
            <w:r>
              <w:rPr>
                <w:rFonts w:ascii="仿宋_GB2312" w:hAnsi="仿宋_GB2312" w:cs="仿宋_GB2312" w:eastAsia="仿宋_GB2312"/>
                <w:sz w:val="24"/>
              </w:rPr>
              <w:t>混凝土路面</w:t>
            </w:r>
            <w:r>
              <w:rPr>
                <w:rFonts w:ascii="仿宋_GB2312" w:hAnsi="仿宋_GB2312" w:cs="仿宋_GB2312" w:eastAsia="仿宋_GB2312"/>
                <w:sz w:val="24"/>
              </w:rPr>
              <w:t>132</w:t>
            </w:r>
            <w:r>
              <w:rPr>
                <w:rFonts w:ascii="仿宋_GB2312" w:hAnsi="仿宋_GB2312" w:cs="仿宋_GB2312" w:eastAsia="仿宋_GB2312"/>
                <w:sz w:val="24"/>
              </w:rPr>
              <w:t>㎡，加宽</w:t>
            </w:r>
            <w:r>
              <w:rPr>
                <w:rFonts w:ascii="仿宋_GB2312" w:hAnsi="仿宋_GB2312" w:cs="仿宋_GB2312" w:eastAsia="仿宋_GB2312"/>
                <w:sz w:val="24"/>
              </w:rPr>
              <w:t>18cm</w:t>
            </w:r>
            <w:r>
              <w:rPr>
                <w:rFonts w:ascii="仿宋_GB2312" w:hAnsi="仿宋_GB2312" w:cs="仿宋_GB2312" w:eastAsia="仿宋_GB2312"/>
                <w:sz w:val="24"/>
              </w:rPr>
              <w:t>厚</w:t>
            </w:r>
            <w:r>
              <w:rPr>
                <w:rFonts w:ascii="仿宋_GB2312" w:hAnsi="仿宋_GB2312" w:cs="仿宋_GB2312" w:eastAsia="仿宋_GB2312"/>
                <w:sz w:val="24"/>
              </w:rPr>
              <w:t>C25</w:t>
            </w:r>
            <w:r>
              <w:rPr>
                <w:rFonts w:ascii="仿宋_GB2312" w:hAnsi="仿宋_GB2312" w:cs="仿宋_GB2312" w:eastAsia="仿宋_GB2312"/>
                <w:sz w:val="24"/>
              </w:rPr>
              <w:t>混凝土路面</w:t>
            </w:r>
            <w:r>
              <w:rPr>
                <w:rFonts w:ascii="仿宋_GB2312" w:hAnsi="仿宋_GB2312" w:cs="仿宋_GB2312" w:eastAsia="仿宋_GB2312"/>
                <w:sz w:val="24"/>
              </w:rPr>
              <w:t>170</w:t>
            </w:r>
            <w:r>
              <w:rPr>
                <w:rFonts w:ascii="仿宋_GB2312" w:hAnsi="仿宋_GB2312" w:cs="仿宋_GB2312" w:eastAsia="仿宋_GB2312"/>
                <w:sz w:val="24"/>
              </w:rPr>
              <w:t>㎡，室外地坪铺装</w:t>
            </w:r>
            <w:r>
              <w:rPr>
                <w:rFonts w:ascii="仿宋_GB2312" w:hAnsi="仿宋_GB2312" w:cs="仿宋_GB2312" w:eastAsia="仿宋_GB2312"/>
                <w:sz w:val="24"/>
              </w:rPr>
              <w:t>580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③陈家醍醐村：陈家醍醐村：安装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54</w:t>
            </w:r>
            <w:r>
              <w:rPr>
                <w:rFonts w:ascii="仿宋_GB2312" w:hAnsi="仿宋_GB2312" w:cs="仿宋_GB2312" w:eastAsia="仿宋_GB2312"/>
                <w:sz w:val="24"/>
              </w:rPr>
              <w:t>盏；林川村：安装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20</w:t>
            </w:r>
            <w:r>
              <w:rPr>
                <w:rFonts w:ascii="仿宋_GB2312" w:hAnsi="仿宋_GB2312" w:cs="仿宋_GB2312" w:eastAsia="仿宋_GB2312"/>
                <w:sz w:val="24"/>
              </w:rPr>
              <w:t>盏；刘家洼村：安装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10</w:t>
            </w:r>
            <w:r>
              <w:rPr>
                <w:rFonts w:ascii="仿宋_GB2312" w:hAnsi="仿宋_GB2312" w:cs="仿宋_GB2312" w:eastAsia="仿宋_GB2312"/>
                <w:sz w:val="24"/>
              </w:rPr>
              <w:t>盏；程家洼村：安装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28</w:t>
            </w:r>
            <w:r>
              <w:rPr>
                <w:rFonts w:ascii="仿宋_GB2312" w:hAnsi="仿宋_GB2312" w:cs="仿宋_GB2312" w:eastAsia="仿宋_GB2312"/>
                <w:sz w:val="24"/>
              </w:rPr>
              <w:t>盏。及配套绿化苗木等；雷庄村：新建</w:t>
            </w:r>
            <w:r>
              <w:rPr>
                <w:rFonts w:ascii="仿宋_GB2312" w:hAnsi="仿宋_GB2312" w:cs="仿宋_GB2312" w:eastAsia="仿宋_GB2312"/>
                <w:sz w:val="24"/>
              </w:rPr>
              <w:t>DN400</w:t>
            </w:r>
            <w:r>
              <w:rPr>
                <w:rFonts w:ascii="仿宋_GB2312" w:hAnsi="仿宋_GB2312" w:cs="仿宋_GB2312" w:eastAsia="仿宋_GB2312"/>
                <w:sz w:val="24"/>
              </w:rPr>
              <w:t>砼排水管</w:t>
            </w:r>
            <w:r>
              <w:rPr>
                <w:rFonts w:ascii="仿宋_GB2312" w:hAnsi="仿宋_GB2312" w:cs="仿宋_GB2312" w:eastAsia="仿宋_GB2312"/>
                <w:sz w:val="24"/>
              </w:rPr>
              <w:t>153m</w:t>
            </w:r>
            <w:r>
              <w:rPr>
                <w:rFonts w:ascii="仿宋_GB2312" w:hAnsi="仿宋_GB2312" w:cs="仿宋_GB2312" w:eastAsia="仿宋_GB2312"/>
                <w:sz w:val="24"/>
              </w:rPr>
              <w:t>，检查井</w:t>
            </w:r>
            <w:r>
              <w:rPr>
                <w:rFonts w:ascii="仿宋_GB2312" w:hAnsi="仿宋_GB2312" w:cs="仿宋_GB2312" w:eastAsia="仿宋_GB2312"/>
                <w:sz w:val="24"/>
              </w:rPr>
              <w:t>4</w:t>
            </w:r>
            <w:r>
              <w:rPr>
                <w:rFonts w:ascii="仿宋_GB2312" w:hAnsi="仿宋_GB2312" w:cs="仿宋_GB2312" w:eastAsia="仿宋_GB2312"/>
                <w:sz w:val="24"/>
              </w:rPr>
              <w:t>座，雨水口</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DN200PVC</w:t>
            </w:r>
            <w:r>
              <w:rPr>
                <w:rFonts w:ascii="仿宋_GB2312" w:hAnsi="仿宋_GB2312" w:cs="仿宋_GB2312" w:eastAsia="仿宋_GB2312"/>
                <w:sz w:val="24"/>
              </w:rPr>
              <w:t>排水管</w:t>
            </w:r>
            <w:r>
              <w:rPr>
                <w:rFonts w:ascii="仿宋_GB2312" w:hAnsi="仿宋_GB2312" w:cs="仿宋_GB2312" w:eastAsia="仿宋_GB2312"/>
                <w:sz w:val="24"/>
              </w:rPr>
              <w:t>33m</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、工期：</w:t>
            </w:r>
            <w:r>
              <w:rPr>
                <w:rFonts w:ascii="仿宋_GB2312" w:hAnsi="仿宋_GB2312" w:cs="仿宋_GB2312" w:eastAsia="仿宋_GB2312"/>
                <w:sz w:val="24"/>
                <w:b/>
              </w:rPr>
              <w:t>60</w:t>
            </w:r>
            <w:r>
              <w:rPr>
                <w:rFonts w:ascii="仿宋_GB2312" w:hAnsi="仿宋_GB2312" w:cs="仿宋_GB2312" w:eastAsia="仿宋_GB2312"/>
                <w:sz w:val="24"/>
              </w:rPr>
              <w:t>日历天</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、质保：</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、工程地点：</w:t>
            </w:r>
            <w:r>
              <w:rPr>
                <w:rFonts w:ascii="仿宋_GB2312" w:hAnsi="仿宋_GB2312" w:cs="仿宋_GB2312" w:eastAsia="仿宋_GB2312"/>
                <w:sz w:val="24"/>
              </w:rPr>
              <w:t>澄城县寺前镇西习村、赵庄镇杜家洼村、陈家醍醐等五村</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、招标范围：</w:t>
            </w:r>
            <w:r>
              <w:rPr>
                <w:rFonts w:ascii="仿宋_GB2312" w:hAnsi="仿宋_GB2312" w:cs="仿宋_GB2312" w:eastAsia="仿宋_GB2312"/>
                <w:sz w:val="24"/>
              </w:rPr>
              <w:t>详见图纸及工程量清单</w:t>
            </w:r>
          </w:p>
          <w:p>
            <w:pPr>
              <w:pStyle w:val="null3"/>
              <w:jc w:val="both"/>
            </w:pPr>
            <w:r>
              <w:rPr>
                <w:rFonts w:ascii="仿宋_GB2312" w:hAnsi="仿宋_GB2312" w:cs="仿宋_GB2312" w:eastAsia="仿宋_GB2312"/>
                <w:sz w:val="24"/>
                <w:b/>
              </w:rPr>
              <w:t>二、需执行的国家相关标准、行业标准、地方标准或者其他标准、规范</w:t>
            </w:r>
          </w:p>
          <w:p>
            <w:pPr>
              <w:pStyle w:val="null3"/>
              <w:ind w:firstLine="480"/>
              <w:jc w:val="both"/>
            </w:pPr>
            <w:r>
              <w:rPr>
                <w:rFonts w:ascii="仿宋_GB2312" w:hAnsi="仿宋_GB2312" w:cs="仿宋_GB2312" w:eastAsia="仿宋_GB2312"/>
                <w:sz w:val="24"/>
              </w:rPr>
              <w:t>符合国家相关法律法规及行业规范及采购要求，达到合格标准。</w:t>
            </w:r>
          </w:p>
          <w:p>
            <w:pPr>
              <w:pStyle w:val="null3"/>
              <w:jc w:val="both"/>
            </w:pPr>
            <w:r>
              <w:rPr>
                <w:rFonts w:ascii="仿宋_GB2312" w:hAnsi="仿宋_GB2312" w:cs="仿宋_GB2312" w:eastAsia="仿宋_GB2312"/>
                <w:sz w:val="24"/>
                <w:b/>
              </w:rPr>
              <w:t>三、拟投入本项目的预算</w:t>
            </w:r>
          </w:p>
          <w:p>
            <w:pPr>
              <w:pStyle w:val="null3"/>
              <w:ind w:firstLine="480"/>
              <w:jc w:val="both"/>
            </w:pPr>
            <w:r>
              <w:rPr>
                <w:rFonts w:ascii="仿宋_GB2312" w:hAnsi="仿宋_GB2312" w:cs="仿宋_GB2312" w:eastAsia="仿宋_GB2312"/>
                <w:sz w:val="24"/>
              </w:rPr>
              <w:t>本次采购预算</w:t>
            </w:r>
            <w:r>
              <w:rPr>
                <w:rFonts w:ascii="仿宋_GB2312" w:hAnsi="仿宋_GB2312" w:cs="仿宋_GB2312" w:eastAsia="仿宋_GB2312"/>
                <w:sz w:val="24"/>
              </w:rPr>
              <w:t>1054300.00元，最高限价1054236.79元（其中寺前镇西习村：361061.60元、</w:t>
            </w:r>
            <w:r>
              <w:rPr>
                <w:rFonts w:ascii="仿宋_GB2312" w:hAnsi="仿宋_GB2312" w:cs="仿宋_GB2312" w:eastAsia="仿宋_GB2312"/>
                <w:sz w:val="24"/>
              </w:rPr>
              <w:t>杜家洼村：</w:t>
            </w:r>
            <w:r>
              <w:rPr>
                <w:rFonts w:ascii="仿宋_GB2312" w:hAnsi="仿宋_GB2312" w:cs="仿宋_GB2312" w:eastAsia="仿宋_GB2312"/>
                <w:sz w:val="24"/>
              </w:rPr>
              <w:t>254217.08元、</w:t>
            </w:r>
            <w:r>
              <w:rPr>
                <w:rFonts w:ascii="仿宋_GB2312" w:hAnsi="仿宋_GB2312" w:cs="仿宋_GB2312" w:eastAsia="仿宋_GB2312"/>
                <w:sz w:val="24"/>
              </w:rPr>
              <w:t>陈家醍醐村</w:t>
            </w:r>
            <w:r>
              <w:rPr>
                <w:rFonts w:ascii="仿宋_GB2312" w:hAnsi="仿宋_GB2312" w:cs="仿宋_GB2312" w:eastAsia="仿宋_GB2312"/>
                <w:sz w:val="24"/>
              </w:rPr>
              <w:t>：</w:t>
            </w:r>
            <w:r>
              <w:rPr>
                <w:rFonts w:ascii="仿宋_GB2312" w:hAnsi="仿宋_GB2312" w:cs="仿宋_GB2312" w:eastAsia="仿宋_GB2312"/>
                <w:sz w:val="24"/>
              </w:rPr>
              <w:t>438958.11元，各村的报价不能超过各村的最高限价），包括本次项目所需的人工费、材料费、机械设备费、施工费、管理费、税金等本项目有关的所有费用。</w:t>
            </w:r>
          </w:p>
          <w:p>
            <w:pPr>
              <w:pStyle w:val="null3"/>
              <w:jc w:val="both"/>
            </w:pPr>
            <w:r>
              <w:rPr>
                <w:rFonts w:ascii="仿宋_GB2312" w:hAnsi="仿宋_GB2312" w:cs="仿宋_GB2312" w:eastAsia="仿宋_GB2312"/>
                <w:sz w:val="24"/>
                <w:b/>
              </w:rPr>
              <w:t>四、工程质量标准、期限、效率等要求</w:t>
            </w:r>
          </w:p>
          <w:p>
            <w:pPr>
              <w:pStyle w:val="null3"/>
              <w:ind w:firstLine="480"/>
              <w:jc w:val="both"/>
            </w:pPr>
            <w:r>
              <w:rPr>
                <w:rFonts w:ascii="仿宋_GB2312" w:hAnsi="仿宋_GB2312" w:cs="仿宋_GB2312" w:eastAsia="仿宋_GB2312"/>
                <w:sz w:val="24"/>
              </w:rPr>
              <w:t>1.合同履行期：60日历天</w:t>
            </w:r>
          </w:p>
          <w:p>
            <w:pPr>
              <w:pStyle w:val="null3"/>
              <w:ind w:firstLine="480"/>
              <w:jc w:val="left"/>
            </w:pPr>
            <w:r>
              <w:rPr>
                <w:rFonts w:ascii="仿宋_GB2312" w:hAnsi="仿宋_GB2312" w:cs="仿宋_GB2312" w:eastAsia="仿宋_GB2312"/>
                <w:sz w:val="24"/>
              </w:rPr>
              <w:t>2.质量标准：达到国家现行行业施工验收规范“合格”标准。</w:t>
            </w:r>
          </w:p>
          <w:p>
            <w:pPr>
              <w:pStyle w:val="null3"/>
              <w:ind w:firstLine="480"/>
              <w:jc w:val="both"/>
            </w:pPr>
            <w:r>
              <w:rPr>
                <w:rFonts w:ascii="仿宋_GB2312" w:hAnsi="仿宋_GB2312" w:cs="仿宋_GB2312" w:eastAsia="仿宋_GB2312"/>
                <w:sz w:val="24"/>
              </w:rPr>
              <w:t>3.其他要求：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1）在施工范围内按施工内容和要求制定详细的施工组织设计方案，方案科学、合理、可靠。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2）人员配备合理。有针对本项目的项目团队，项目负责人、配备人员分工明确(应有具体成员名单，包括姓名、工作职责等)。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3）有各类突发事件的应急预案和措施，有明确具体的承诺。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4）供应商所拟派的工作人员，若在施工期间发生任何伤害，采购人概不负责，由供应商自行处理。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符合国家相关法律法规及行业规范及采购要求，达到合格标准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1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具有建筑工程施工总承包三级（含三级）或市政公用工程总承包三级（含三级）及以上资质，且具有有效的安全生产许可证；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拟派项目经理须具有建筑工程专业二级或市政工程专业二级及以上注册建造师证书及有效的安全生产考核合格证书（B 证），且未担任其他在建工程的项目经理；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残疾人福利性单位声明函 报价函 标的清单 供应商类似项目业绩一览表 响应函 陕西省政府采购供应商拒绝政府采购领域商业贿赂承诺书.docx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项目整体设想及总体规划；②项目重点难点分析；③施工准备实施流程；④主要施工方法及技术措施；⑤施工进度管控及衔接方案；每项评审内容不存在缺陷得3分，满分15分；每项评审内容每存在一处缺陷扣0.5分，扣完为止；未提供不得分。（说明：存在下列情形之一的属于内容缺陷：①内容与项目需求不吻合、层次未细化，缺乏针对性，未明确项目核心目标的；②阐述未从实际出发，不切合项目背景、施工需求，项目重点难点识别不精准的；③存在抄袭或套用其他地区、无关项目内容的；④前后逻辑混乱，存在科学原理或常识性错误的；⑤无具体详细阐述，方案实施性不强，施工准备流程不完整、施工方法及技术措施不明确的；⑥施工进度管控及衔接方案不合理，无法保障工期达标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质量管控需求的；③存在抄袭或套用其他地区、无关项目内容的；④前后逻辑混乱，存在科学原理或常识性错误的；⑤无具体详细阐述，方案实施性不强，无法指导质量管控的；⑥质量管理体系不健全，岗位职责划分模糊、管控流程缺失的；⑦施工质量保障措施不具体，未针对项目关键环节制定专项管控方案的；⑧质量验收标准不明确，无具体验收流程和管控节点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安全生产需求的；③存在抄袭或套用其他地区、无关项目内容的；④前后逻辑混乱，存在科学原理或常识性错误的；⑤无具体详细阐述，方案实施性不强，无法指导安全生产管控的；⑥安全生产管理体系不健全，岗位职责划分模糊、管控流程缺失的；⑦安全生产保证措施不具体，未针对项目关键环节制定专项管控方案的；⑧安全隐患排查、应急处置措施缺失，无法保障施工安全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每项评审内容不存在缺陷得2分，满分6分；每项评审内容每存在一处缺陷扣0.5分，扣完为止；未提供不得分。（说明：存在下列情形之一的属于内容缺陷：①内容与项目需求不吻合、层次未细化，缺乏针对性，管理体系不健全、管控措施不具体的；②阐述未从实际出发，不切合项目背景、文明施工及环保需求，未制定专项方案的；③存在抄袭或套用其他地区、无关项目内容，或前后逻辑混乱、存在常识错误的；④无具体详细阐述，方案实施性不强，无法指导文明施工及环保管控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内容至少包括①施工进度计划；②横道图 / 网络图、工序逻辑、关键线路。 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工期需求的；③存在抄袭或套用其他地区、无关项目内容的；④前后逻辑混乱，存在科学原理或常识性错误的；⑤无具体详细阐述，方案实施性不强，无法指导实际施工的；⑥施工进度计划不合理，未结合项目规模、工期要求制定的；⑦横道图/网络图绘制不规范，工序逻辑混乱、关键线路识别错误的；⑧进度管控措施缺失，无法保障工期按期完成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内容至少包括①施工机械配备计划；②材料投入计划。每项评审内容不存在缺陷得3分，满分6分；每项评审内容每存在一处缺陷扣0.5分，扣完为止；未提供不得分。（说明：存在下列情形之一的属于内容缺陷：①施工机械、材料配置与项目需求不匹配，机械型号规格数量不符、进场调配不合理，或材料规格数量不合规、进场时序与施工进度脱节的；②未明确施工机械、材料的质量管控标准及具体管控措施，无法保障施工质量的；③内容与项目需求不吻合、层次未细化，缺乏针对性的；④阐述脱离项目实际背景，存在抄袭套用无关内容、逻辑错误或常识错误的；⑤无具体详细阐述，方案实施性不强，无法指导实际施工的；⑥未明确施工机械维护保养、材料存储管控相关措施，无法保障施工顺利推进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内容至少包括①人员配置、②岗位资质、③岗位职责、④人员完整性。。每项内容完整且无缺陷得2分，满分8分，每存在一处缺陷扣0.5分，扣完为止；未提供不得分。（说明：存在下列情形之一的属于内容缺陷：①人员配置数量、专业与项目需求不吻合，层次未细化，核心岗位缺失的；②岗位人员资质不符合项目要求，资质证明缺失或无效，无法满足项目实施需求的；③岗位职责划分模糊、分工混乱，存在重叠或空缺，人员配置不完整的；④阐述脱离项目实际，存在抄袭套用无关内容、逻辑错误，或无具体详细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供应商提供近三年（2023年8月至今）的类似业绩，每提供一个得2分，最多得6分，未提供得0分。（以合同签订时间为准）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满足竞争性磋商文件要求且磋商价格最低的最终磋商报价为磋商基准价，得满分35分；磋商报价得分=(磋商基准价／最终磋商报价)×35%×100。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