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版本号：ZX2026-08-2520260814001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“乐业新城•职筑民生”2026-2027年新城区高质量就业招聘活动项目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ZX2026-08-25</w:t>
      </w:r>
      <w:r>
        <w:br/>
      </w:r>
      <w:r>
        <w:br/>
      </w:r>
      <w:r>
        <w:br/>
      </w:r>
    </w:p>
    <w:p>
      <w:pPr>
        <w:pStyle w:val="null3"/>
        <w:jc w:val="center"/>
        <w:outlineLvl w:val="2"/>
      </w:pPr>
      <w:r>
        <w:rPr>
          <w:rFonts w:ascii="仿宋_GB2312" w:hAnsi="仿宋_GB2312" w:cs="仿宋_GB2312" w:eastAsia="仿宋_GB2312"/>
          <w:sz w:val="28"/>
          <w:b/>
        </w:rPr>
        <w:t>西安市新城区人力资源和社会保障局</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西安市新城区人力资源和社会保障局</w:t>
      </w:r>
      <w:r>
        <w:rPr>
          <w:rFonts w:ascii="仿宋_GB2312" w:hAnsi="仿宋_GB2312" w:cs="仿宋_GB2312" w:eastAsia="仿宋_GB2312"/>
        </w:rPr>
        <w:t>委托，拟对</w:t>
      </w:r>
      <w:r>
        <w:rPr>
          <w:rFonts w:ascii="仿宋_GB2312" w:hAnsi="仿宋_GB2312" w:cs="仿宋_GB2312" w:eastAsia="仿宋_GB2312"/>
        </w:rPr>
        <w:t>“乐业新城•职筑民生”2026-2027年新城区高质量就业招聘活动项目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ZX2026-08-25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“乐业新城•职筑民生”2026-2027年新城区高质量就业招聘活动项目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扎实做好新城区稳就业工作，搭建企业与求职者供需对接桥梁，开展“乐业新城・职筑民生”2026‑2027年新城区高质量就业招聘活动。服务内容包含现场招聘会、直播带岗、就业服务进社区系列活动、网络招聘平台运维等服务板块。供应商须严格按照既定活动主题、活动场次、参会企业规模开展全部服务工作，全面负责活动策划、企业邀约、现场执行、宣传报道、资料归档等全流程服务，主动接受采购人全过程监督与考核。</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采购包1（“乐业新城•职筑民生”2026-2027年新城区高质量就业招聘活动）：属于专门面向中小企业采购。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磋商的，须提供法定代表人身份证；法定代表人授权本单位他人参加磋商的，须提供法定代表人授权委托书及被授权人身份证明及被授权人磋商截止前3个月内（不含开标当月）任意一个月在本单位的社保缴纳证明。</w:t>
      </w:r>
    </w:p>
    <w:p>
      <w:pPr>
        <w:pStyle w:val="null3"/>
      </w:pPr>
      <w:r>
        <w:rPr>
          <w:rFonts w:ascii="仿宋_GB2312" w:hAnsi="仿宋_GB2312" w:cs="仿宋_GB2312" w:eastAsia="仿宋_GB2312"/>
        </w:rPr>
        <w:t>2、本项目不接受联合体投标，不允许分包：本项目不接受联合体投标，不允许分包。供应商应提供《非联合体不分包投标声明》。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西安市新城区人力资源和社会保障局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西安市新城区尚德路115号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029-83240121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刘汝樨 张爽 曹婷 崔文 马演 王宇轩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029-88110800转8025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西安市新城区政府采购管理股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87438480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采购包1：1,990,000.00元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代理服务费收费标准：参照国家计委计价格[2002]1980号及发改办价格[2003]857号通知规定，由成交供应商支付代理服务费。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西安市新城区人力资源和社会保障局</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西安市新城区人力资源和社会保障局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西安市新城区人力资源和社会保障局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知识产权归属和处理方式： 1、供应商应保证在本项目使用的任何产品和服务（包括部分使用）时，不会产生因第三方提出侵犯其专利权、商标权或其他知识产权而引起的法律和经济纠纷，如因专利权、商标权或其他知识产权而引起法律纠纷和经济纠纷，由供应商承担所有相关责任。 2、采购人享有本项目在实施过程中产生的知识成果及知识产权。 3、供应商若在项目实施过程中采用自有知识成果，需在磋商响应文件中声明，并提供相关知识产权证明文件。使用该知识成果后，供应商须提供开发接口和开发手册等技术文档，并承诺提供无限期技术支持，采购人享有永久使用权。 4、供应商若在项目实施过程中采用非自有知识产权，则在响应报价中必须包括合法获取该知识产权的相关费用。 5、供应商保证所交付的服务和服务所涉及的物品所有权无任何抵押、查封等权利瑕疵。</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按照磋商文件和合同约定执行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联系人：曹婷、刘汝樨</w:t>
      </w:r>
    </w:p>
    <w:p>
      <w:pPr>
        <w:pStyle w:val="null3"/>
      </w:pPr>
      <w:r>
        <w:rPr>
          <w:rFonts w:ascii="仿宋_GB2312" w:hAnsi="仿宋_GB2312" w:cs="仿宋_GB2312" w:eastAsia="仿宋_GB2312"/>
        </w:rPr>
        <w:t>联系电话：029-88110800转8025</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扎实做好新城区稳就业工作，搭建企业与求职者供需对接桥梁，开展“乐业新城・职筑民生”2026‑2027年新城区高质量就业招聘活动。服务内容包含现场招聘会、直播带岗、就业服务进社区系列活动、网络招聘平台运维等服务板块。供应商须严格按照既定活动主题、活动场次、参会企业规模开展全部服务工作，全面负责活动策划、企业邀约、现场执行、宣传报道、资料归档等全流程服务，主动接受采购人全过程监督与考核。</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1,990,000.00</w:t>
      </w:r>
    </w:p>
    <w:p>
      <w:pPr>
        <w:pStyle w:val="null3"/>
      </w:pPr>
      <w:r>
        <w:rPr>
          <w:rFonts w:ascii="仿宋_GB2312" w:hAnsi="仿宋_GB2312" w:cs="仿宋_GB2312" w:eastAsia="仿宋_GB2312"/>
        </w:rPr>
        <w:t>采购包最高限价（元）: 1,990,000.00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新城区高质量就业招聘活动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1,990,000.00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标的名称：新城区高质量就业招聘活动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为扎实做好新城区稳就业工作，搭建企业与求职者供需对接桥梁，开展“乐业新城・职筑民生”2026‑2027年新城区高质量就业招聘活动。服务内容包含现场招聘会、直播带岗、就业服务进社区系列活动、网络招聘平台运维等服务板块。供应商须严格按照既定活动主题、活动场次、参会企业规模开展全部服务工作，全面负责活动策划、企业邀约、现场执行、宣传报道、资料归档等全流程服务，主动接受采购人全过程监督与考核。</w:t>
            </w:r>
          </w:p>
          <w:p>
            <w:pPr>
              <w:pStyle w:val="null3"/>
            </w:pPr>
            <w:r>
              <w:rPr>
                <w:rFonts w:ascii="仿宋_GB2312" w:hAnsi="仿宋_GB2312" w:cs="仿宋_GB2312" w:eastAsia="仿宋_GB2312"/>
              </w:rPr>
              <w:t>二、分项服务内容</w:t>
            </w:r>
          </w:p>
          <w:p>
            <w:pPr>
              <w:pStyle w:val="null3"/>
            </w:pPr>
            <w:r>
              <w:rPr>
                <w:rFonts w:ascii="仿宋_GB2312" w:hAnsi="仿宋_GB2312" w:cs="仿宋_GB2312" w:eastAsia="仿宋_GB2312"/>
              </w:rPr>
              <w:t>（一）现场招聘会（合计62场）</w:t>
            </w:r>
          </w:p>
          <w:p>
            <w:pPr>
              <w:pStyle w:val="null3"/>
            </w:pPr>
            <w:r>
              <w:rPr>
                <w:rFonts w:ascii="仿宋_GB2312" w:hAnsi="仿宋_GB2312" w:cs="仿宋_GB2312" w:eastAsia="仿宋_GB2312"/>
              </w:rPr>
              <w:t>1．金秋招聘月活动：参会企业规模20‑25家，开展1场；参会企业规模15家，开展9场，合计10场。</w:t>
            </w:r>
          </w:p>
          <w:p>
            <w:pPr>
              <w:pStyle w:val="null3"/>
            </w:pPr>
            <w:r>
              <w:rPr>
                <w:rFonts w:ascii="仿宋_GB2312" w:hAnsi="仿宋_GB2312" w:cs="仿宋_GB2312" w:eastAsia="仿宋_GB2312"/>
              </w:rPr>
              <w:t>2．暖冬行动活动：参会企业规模20‑25家，开展1场；参会企业规模15家，开展9场，合计10场。</w:t>
            </w:r>
          </w:p>
          <w:p>
            <w:pPr>
              <w:pStyle w:val="null3"/>
            </w:pPr>
            <w:r>
              <w:rPr>
                <w:rFonts w:ascii="仿宋_GB2312" w:hAnsi="仿宋_GB2312" w:cs="仿宋_GB2312" w:eastAsia="仿宋_GB2312"/>
              </w:rPr>
              <w:t>3．春风行动暨就业援助月活动：参会企业规模50家，开展1场；参会企业规模15家，开展18场，合计19场。</w:t>
            </w:r>
          </w:p>
          <w:p>
            <w:pPr>
              <w:pStyle w:val="null3"/>
            </w:pPr>
            <w:r>
              <w:rPr>
                <w:rFonts w:ascii="仿宋_GB2312" w:hAnsi="仿宋_GB2312" w:cs="仿宋_GB2312" w:eastAsia="仿宋_GB2312"/>
              </w:rPr>
              <w:t>4．纳凉夜市活动：参会企业规模20‑25家，开展1场；参会企业规模15家，开展9场，合计10场。</w:t>
            </w:r>
          </w:p>
          <w:p>
            <w:pPr>
              <w:pStyle w:val="null3"/>
            </w:pPr>
            <w:r>
              <w:rPr>
                <w:rFonts w:ascii="仿宋_GB2312" w:hAnsi="仿宋_GB2312" w:cs="仿宋_GB2312" w:eastAsia="仿宋_GB2312"/>
              </w:rPr>
              <w:t>5．“家门口”就业活动：参会企业规模15家，开展10场。</w:t>
            </w:r>
          </w:p>
          <w:p>
            <w:pPr>
              <w:pStyle w:val="null3"/>
            </w:pPr>
            <w:r>
              <w:rPr>
                <w:rFonts w:ascii="仿宋_GB2312" w:hAnsi="仿宋_GB2312" w:cs="仿宋_GB2312" w:eastAsia="仿宋_GB2312"/>
              </w:rPr>
              <w:t>6．退役军人专场活动：参会企业规模30家，开展2场。</w:t>
            </w:r>
          </w:p>
          <w:p>
            <w:pPr>
              <w:pStyle w:val="null3"/>
            </w:pPr>
            <w:r>
              <w:rPr>
                <w:rFonts w:ascii="仿宋_GB2312" w:hAnsi="仿宋_GB2312" w:cs="仿宋_GB2312" w:eastAsia="仿宋_GB2312"/>
              </w:rPr>
              <w:t>7．女性专场活动：参会企业规模30家，开展1场。</w:t>
            </w:r>
          </w:p>
          <w:p>
            <w:pPr>
              <w:pStyle w:val="null3"/>
            </w:pPr>
            <w:r>
              <w:rPr>
                <w:rFonts w:ascii="仿宋_GB2312" w:hAnsi="仿宋_GB2312" w:cs="仿宋_GB2312" w:eastAsia="仿宋_GB2312"/>
              </w:rPr>
              <w:t>服务要求：</w:t>
            </w:r>
          </w:p>
          <w:p>
            <w:pPr>
              <w:pStyle w:val="null3"/>
            </w:pPr>
            <w:r>
              <w:rPr>
                <w:rFonts w:ascii="仿宋_GB2312" w:hAnsi="仿宋_GB2312" w:cs="仿宋_GB2312" w:eastAsia="仿宋_GB2312"/>
              </w:rPr>
              <w:t>供应商须全权负责本项目所有主题、所有场次现场招聘会的全流程落地实施、统筹运营及成果归档工作，严格遵循采购人工作要求，结合每场活动主题、服务人群、场地条件、企业规模定制专属执行方案，全程标准化、规范化开展服务，确保每场招聘会安全、有序、高效落地，切实达成企业招工、群众求职双向精准对接的服务成效，具体服务内容细化如下：</w:t>
            </w:r>
          </w:p>
          <w:p>
            <w:pPr>
              <w:pStyle w:val="null3"/>
            </w:pPr>
            <w:r>
              <w:rPr>
                <w:rFonts w:ascii="仿宋_GB2312" w:hAnsi="仿宋_GB2312" w:cs="仿宋_GB2312" w:eastAsia="仿宋_GB2312"/>
              </w:rPr>
              <w:t>1.活动方案策划与报审管理。供应商需根据不同活动主题，结合对应场次的企业参会规模、服务场景，编制专项活动实施方案。所有活动方案须在活动开展前3个工作日提交采购人审核，审核通过后方可组织实施，并全程配合采购人优化调整方案内容。</w:t>
            </w:r>
          </w:p>
          <w:p>
            <w:pPr>
              <w:pStyle w:val="null3"/>
            </w:pPr>
            <w:r>
              <w:rPr>
                <w:rFonts w:ascii="仿宋_GB2312" w:hAnsi="仿宋_GB2312" w:cs="仿宋_GB2312" w:eastAsia="仿宋_GB2312"/>
              </w:rPr>
              <w:t>2.企业邀约、资质审核与岗位梳理。供应商需根据各专场招聘会定位，定向邀约辖区内合规优质企业参会，严格把控参会企业质量，全面开展企业资质审核工作，逐一核查企业营业执照、用工资质及招聘合规性，坚决杜绝虚假招聘、违规用工、失信企业入场参会。同时安排专人对接参会企业，收集、整理、校对企业招聘简章，确保所有岗位信息真实、准确、透明、有效。</w:t>
            </w:r>
          </w:p>
          <w:p>
            <w:pPr>
              <w:pStyle w:val="null3"/>
            </w:pPr>
            <w:r>
              <w:rPr>
                <w:rFonts w:ascii="仿宋_GB2312" w:hAnsi="仿宋_GB2312" w:cs="仿宋_GB2312" w:eastAsia="仿宋_GB2312"/>
              </w:rPr>
              <w:t>3.场地协调、物料设计制作与现场搭建撤场。供应商负责每场招聘会的场地对接、协调、确认工作，结合场地实际尺寸、现场环境规划合理的功能分区；全权负责全套活动物料的设计、定制、制作、运输、安装工作，同步完成桁架、帐篷、桌椅、桌布、饮水设施等现场物资的布置与调试。活动结束后，第一时间完成全场物料拆除、物资清点收纳、场地垃圾清理及现场复原工作，保障场地整洁无遗留问题。</w:t>
            </w:r>
          </w:p>
          <w:p>
            <w:pPr>
              <w:pStyle w:val="null3"/>
            </w:pPr>
            <w:r>
              <w:rPr>
                <w:rFonts w:ascii="仿宋_GB2312" w:hAnsi="仿宋_GB2312" w:cs="仿宋_GB2312" w:eastAsia="仿宋_GB2312"/>
              </w:rPr>
              <w:t>4.全维度宣传推广与现场信息采集。供应商需搭建多渠道宣传矩阵开展活动预热推广，依托官方新媒体平台、社区居民群、本地自媒体、线下公告栏等渠道，提前发布招聘会活动预告、优质岗位清单、活动时间地点、就业政策等内容，广泛引流，吸引企业与求职者参与。活动全程安排专职摄影、摄像人员，实时记录活动全过程，同步完成现场人员信息、求职诉求、企业对接情况的数据采集与统计工作。</w:t>
            </w:r>
          </w:p>
          <w:p>
            <w:pPr>
              <w:pStyle w:val="null3"/>
            </w:pPr>
            <w:r>
              <w:rPr>
                <w:rFonts w:ascii="仿宋_GB2312" w:hAnsi="仿宋_GB2312" w:cs="仿宋_GB2312" w:eastAsia="仿宋_GB2312"/>
              </w:rPr>
              <w:t>5.现场运维服务与秩序保障。活动现场配备充足的专职工作人员，负责现场签到引导、企业对接、求职者咨询解答、现场秩序维护等常态化服务工作，及时协调处置现场突发问题，保障招聘会有序开展。主动引导求职群众登记个人求职信息及就业意向，精准对接适配岗位，为大龄求职者、就业困难人员、退役军人、女性求职者等重点群体提供针对性咨询指引服务，提升现场求职体验与岗位对接效率。现场配备1-2名专业就业指导老师，为求职者提供一对一职业规划、简历优化、面试技巧指导等个性化就业服务。</w:t>
            </w:r>
          </w:p>
          <w:p>
            <w:pPr>
              <w:pStyle w:val="null3"/>
            </w:pPr>
            <w:r>
              <w:rPr>
                <w:rFonts w:ascii="仿宋_GB2312" w:hAnsi="仿宋_GB2312" w:cs="仿宋_GB2312" w:eastAsia="仿宋_GB2312"/>
              </w:rPr>
              <w:t>6.活动成果汇总与全套资料归档报送。每场招聘会结束后，供应商需及时梳理活动开展情况，统计参会企业数量、提供岗位数量、到场求职人数等核心数据。同步汇总整理本场次活动方案、宣传素材、现场高清影像资料、企业资质台账、岗位信息汇总表、求职登记台账等全套资料，按时向采购人完成资料报送，确保所有活动资料完整、数据真实、归档规范，全程接受采购人监督核查与成果验收。</w:t>
            </w:r>
          </w:p>
          <w:p>
            <w:pPr>
              <w:pStyle w:val="null3"/>
            </w:pPr>
            <w:r>
              <w:rPr>
                <w:rFonts w:ascii="仿宋_GB2312" w:hAnsi="仿宋_GB2312" w:cs="仿宋_GB2312" w:eastAsia="仿宋_GB2312"/>
              </w:rPr>
              <w:t>7.活动成效回访闭环管理。建立招聘会长效回访机制，活动结束后7-10天开展首次回访、1个月内完成二次回访，针对参会企业、意向求职人员开展抽样回访，跟踪岗位录用、人员上岗情况，收集企业及群众满意度评价与意见建议，建立完整回访台账。针对未达成就业意向的求职者，持续推送适配岗位、技能培训资源，梳理活动问题与优化经验，形成“策划-执行-验收-回访”全闭环服务体系，持续提升招聘对接实效。</w:t>
            </w:r>
          </w:p>
          <w:p>
            <w:pPr>
              <w:pStyle w:val="null3"/>
            </w:pPr>
            <w:r>
              <w:rPr>
                <w:rFonts w:ascii="仿宋_GB2312" w:hAnsi="仿宋_GB2312" w:cs="仿宋_GB2312" w:eastAsia="仿宋_GB2312"/>
              </w:rPr>
              <w:t>（二）直播带岗（合计33场）</w:t>
            </w:r>
          </w:p>
          <w:p>
            <w:pPr>
              <w:pStyle w:val="null3"/>
            </w:pPr>
            <w:r>
              <w:rPr>
                <w:rFonts w:ascii="仿宋_GB2312" w:hAnsi="仿宋_GB2312" w:cs="仿宋_GB2312" w:eastAsia="仿宋_GB2312"/>
              </w:rPr>
              <w:t>1．招聘会现场走播：开展6场，依托线下各类专场招聘会现场开展实景直播带岗服务。直播全程聚焦招聘会现场实况，实时展示现场招聘氛围、企业招聘展位及岗位供需情况，由专业主播逐一介绍参会企业基本概况、核心招聘岗位、岗位职责、薪资待遇、任职条件等关键信息。直播过程中实时开展线上互动，及时回应线上求职者咨询提问，让无法到场的群众足不出户即可了解招聘会全貌、对接优质岗位，有效拓宽招聘求职覆盖面，提升线下招聘会的传播力与对接成效。</w:t>
            </w:r>
          </w:p>
          <w:p>
            <w:pPr>
              <w:pStyle w:val="null3"/>
            </w:pPr>
            <w:r>
              <w:rPr>
                <w:rFonts w:ascii="仿宋_GB2312" w:hAnsi="仿宋_GB2312" w:cs="仿宋_GB2312" w:eastAsia="仿宋_GB2312"/>
              </w:rPr>
              <w:t>2．入企直播带岗：开展3场，组织专业直播团队深入辖区优质用工企业内部开展实地探访式直播带岗活动。直播过程中实地拍摄展示企业办公区域、生产车间、岗位工作环境、员工宿舍、食堂食宿配套、休闲设施等实景场景，由主播详细解读企业全部招聘岗位详情、薪酬标准、福利体系、晋升通道、社保保障、用工要求、入职流程等核心内容，针对性解答求职者关心的薪资发放、岗位适配、通勤住宿、职业发展等热点问题。</w:t>
            </w:r>
          </w:p>
          <w:p>
            <w:pPr>
              <w:pStyle w:val="null3"/>
            </w:pPr>
            <w:r>
              <w:rPr>
                <w:rFonts w:ascii="仿宋_GB2312" w:hAnsi="仿宋_GB2312" w:cs="仿宋_GB2312" w:eastAsia="仿宋_GB2312"/>
              </w:rPr>
              <w:t>3．直播集锦：开展24场，采用常态化专业主持人专场播报形式开展岗位推送服务。由专职专业主持人提前梳理、审核辖区优质企业资源及正规招聘岗位信息，精准播报企业基本情况、岗位类别、岗位职责、薪资福利、任职资质、工作地点、招聘人数、报名方式等详细内容，同步穿插解读普惠性、专项性就业创业扶持政策、求职技巧、岗位适配建议等实用内容。通过常态化定时直播播报，持续推送优质岗位资源，高频次、广覆盖开展线上岗位推介服务。</w:t>
            </w:r>
          </w:p>
          <w:p>
            <w:pPr>
              <w:pStyle w:val="null3"/>
            </w:pPr>
            <w:r>
              <w:rPr>
                <w:rFonts w:ascii="仿宋_GB2312" w:hAnsi="仿宋_GB2312" w:cs="仿宋_GB2312" w:eastAsia="仿宋_GB2312"/>
              </w:rPr>
              <w:t>服务要求：</w:t>
            </w:r>
          </w:p>
          <w:p>
            <w:pPr>
              <w:pStyle w:val="null3"/>
            </w:pPr>
            <w:r>
              <w:rPr>
                <w:rFonts w:ascii="仿宋_GB2312" w:hAnsi="仿宋_GB2312" w:cs="仿宋_GB2312" w:eastAsia="仿宋_GB2312"/>
              </w:rPr>
              <w:t>供应商须全权负责本项目全部33场直播带岗活动的全流程统筹策划、宣传推广、现场执行、直播运营、后期制作、求职对接及资料归档工作，针对招聘会现场走播、入企实地探岗、主持人岗位播报集锦三类不同直播形式，实行标准化、专业化、规范化运营管理，确保每场直播画面清晰、内容严谨、流程顺畅、宣传有效、对接落地，全面提升线上就业服务质量与岗位匹配效率，具体服务要求如下：</w:t>
            </w:r>
          </w:p>
          <w:p>
            <w:pPr>
              <w:pStyle w:val="null3"/>
            </w:pPr>
            <w:r>
              <w:rPr>
                <w:rFonts w:ascii="仿宋_GB2312" w:hAnsi="仿宋_GB2312" w:cs="仿宋_GB2312" w:eastAsia="仿宋_GB2312"/>
              </w:rPr>
              <w:t>1.直播脚本策划与内容打磨。根据每场直播类型、直播主题、参与企业岗位特点，提前定制专属直播脚本与直播流程方案，明确直播环节、岗位讲解顺序、政策宣讲内容、互动问答模块及直播重点亮点。所有直播内容须严格审核，杜绝虚假岗位、夸大宣传、不实薪资表述，确保播报的企业信息、岗位要求、薪资福利、就业政策真实准确、合规合法。直播集锦专场需提前批量整理优质岗位清单，统一规范播报话术，保证直播内容专业通俗、贴合群众求职需求。</w:t>
            </w:r>
          </w:p>
          <w:p>
            <w:pPr>
              <w:pStyle w:val="null3"/>
            </w:pPr>
            <w:r>
              <w:rPr>
                <w:rFonts w:ascii="仿宋_GB2312" w:hAnsi="仿宋_GB2312" w:cs="仿宋_GB2312" w:eastAsia="仿宋_GB2312"/>
              </w:rPr>
              <w:t>2.前期预热宣传与流量引流。每场直播开播前，供应商需通过官方新媒体账号、短视频平台、社区就业服务群、朋友圈推广、公众号推文等多渠道开展预热宣传，提前发布直播时间、直播主题、优质岗位预告、企业简介及观看方式，精准引流求职人群观看，保障每场直播具备良好曝光量与观看基数。</w:t>
            </w:r>
          </w:p>
          <w:p>
            <w:pPr>
              <w:pStyle w:val="null3"/>
            </w:pPr>
            <w:r>
              <w:rPr>
                <w:rFonts w:ascii="仿宋_GB2312" w:hAnsi="仿宋_GB2312" w:cs="仿宋_GB2312" w:eastAsia="仿宋_GB2312"/>
              </w:rPr>
              <w:t>3.现场设备保障与人员配置服务。供应商需配齐全套专业直播设备，包含高清摄像设备、专业收音设备、补光设备、稳定网络设备、直播后台操控设备等，提前完成设备调试、网络测速、画面试播，杜绝直播卡顿、画面模糊、掉线等技术故障。每场直播固定配备专业主持人、直播场控、后台运营、素材拍摄人员，分工明确、全程值守，保障直播流程稳定有序开展。</w:t>
            </w:r>
          </w:p>
          <w:p>
            <w:pPr>
              <w:pStyle w:val="null3"/>
            </w:pPr>
            <w:r>
              <w:rPr>
                <w:rFonts w:ascii="仿宋_GB2312" w:hAnsi="仿宋_GB2312" w:cs="仿宋_GB2312" w:eastAsia="仿宋_GB2312"/>
              </w:rPr>
              <w:t>4.直播实时运营与求职咨询对接。直播全程做好线上互动服务，及时查看、回复、梳理直播间群众留言咨询，耐心解答各类求职疑问。实时登记直播间意向求职人员信息、意向岗位、联系方式等关键内容，建立直播求职意向台账，安排专人跟进岗位推送、求职答疑、岗位匹配对接，实现“直播引流、意向登记、落地对接”的完整服务闭环。</w:t>
            </w:r>
          </w:p>
          <w:p>
            <w:pPr>
              <w:pStyle w:val="null3"/>
            </w:pPr>
            <w:r>
              <w:rPr>
                <w:rFonts w:ascii="仿宋_GB2312" w:hAnsi="仿宋_GB2312" w:cs="仿宋_GB2312" w:eastAsia="仿宋_GB2312"/>
              </w:rPr>
              <w:t>5.全套素材整理归档与成果报送。供应商严格落实“一场一档”归档制度，对每场直播的直播脚本、预热宣传素材、直播原始回放、剪辑成品、直播数据截图、在线观看人数、互动留言记录、求职意向台账、岗位推介清单等全套资料统一分类整理、归档留存。按时向采购人提交完整的直播活动成果资料，编制直播工作总结与数据报表，确保所有直播服务成果可查、可溯、可验收，全程接受采购人监督、核查与考核。</w:t>
            </w:r>
          </w:p>
          <w:p>
            <w:pPr>
              <w:pStyle w:val="null3"/>
            </w:pPr>
            <w:r>
              <w:rPr>
                <w:rFonts w:ascii="仿宋_GB2312" w:hAnsi="仿宋_GB2312" w:cs="仿宋_GB2312" w:eastAsia="仿宋_GB2312"/>
              </w:rPr>
              <w:t>（三）就业服务进社区活动（合计20场）</w:t>
            </w:r>
          </w:p>
          <w:p>
            <w:pPr>
              <w:pStyle w:val="null3"/>
            </w:pPr>
            <w:r>
              <w:rPr>
                <w:rFonts w:ascii="仿宋_GB2312" w:hAnsi="仿宋_GB2312" w:cs="仿宋_GB2312" w:eastAsia="仿宋_GB2312"/>
              </w:rPr>
              <w:t>全年合计开展20场，结合就业援助季、退役军人就业服务季等专项工作部署，深入各街道社区常态化开展公共就业便民服务。活动涵盖就业创业政策宣讲、就业面对面咨询、求职能力提升、职业技能推介等特色服务内容，重点面向失业人员、灵活就业人员、高校毕业生、退役军人及就业困难群体，开展精准化、下沉式公共就业服务。</w:t>
            </w:r>
          </w:p>
          <w:p>
            <w:pPr>
              <w:pStyle w:val="null3"/>
            </w:pPr>
            <w:r>
              <w:rPr>
                <w:rFonts w:ascii="仿宋_GB2312" w:hAnsi="仿宋_GB2312" w:cs="仿宋_GB2312" w:eastAsia="仿宋_GB2312"/>
              </w:rPr>
              <w:t>服务要求：</w:t>
            </w:r>
          </w:p>
          <w:p>
            <w:pPr>
              <w:pStyle w:val="null3"/>
            </w:pPr>
            <w:r>
              <w:rPr>
                <w:rFonts w:ascii="仿宋_GB2312" w:hAnsi="仿宋_GB2312" w:cs="仿宋_GB2312" w:eastAsia="仿宋_GB2312"/>
              </w:rPr>
              <w:t>供应商负责本系列活动全流程落地执行，结合各社区人群结构、求职需求差异化策划活动内容，确保服务贴合基层实际需求。全面负责活动方案策划、主题物料设计制作、场地布置、现场组织、秩序维护、全程宣传记录等工作；现场精准解读各类就业补贴、创业扶持、见习实训、技能培训相关政策，同步提供岗位推介、简历指导、面试辅导、求职答疑等一对一便民服务。活动结束后及时统计服务数据、收集群众反馈，整理活动影像、工作简报、台账资料，严格落实一场一档制度，按时完成资料归档与报送工作，扎实打通基层就业服务末梢，持续提升公共就业服务覆盖面与群众满意度。</w:t>
            </w:r>
          </w:p>
          <w:p>
            <w:pPr>
              <w:pStyle w:val="null3"/>
            </w:pPr>
            <w:r>
              <w:rPr>
                <w:rFonts w:ascii="仿宋_GB2312" w:hAnsi="仿宋_GB2312" w:cs="仿宋_GB2312" w:eastAsia="仿宋_GB2312"/>
              </w:rPr>
              <w:t>（四）云人才市场网络招聘平台服务费</w:t>
            </w:r>
          </w:p>
          <w:p>
            <w:pPr>
              <w:pStyle w:val="null3"/>
            </w:pPr>
            <w:r>
              <w:rPr>
                <w:rFonts w:ascii="仿宋_GB2312" w:hAnsi="仿宋_GB2312" w:cs="仿宋_GB2312" w:eastAsia="仿宋_GB2312"/>
              </w:rPr>
              <w:t>负责新城区云人才网络招聘平台持续运维、功能保障、技术支撑及日常运营服务，依托线上平台常态化开展线上求职招聘对接工作，保障平台全年7×24小时稳定、安全、流畅运行。</w:t>
            </w:r>
          </w:p>
          <w:p>
            <w:pPr>
              <w:pStyle w:val="null3"/>
            </w:pPr>
            <w:r>
              <w:rPr>
                <w:rFonts w:ascii="仿宋_GB2312" w:hAnsi="仿宋_GB2312" w:cs="仿宋_GB2312" w:eastAsia="仿宋_GB2312"/>
              </w:rPr>
              <w:t>服务要求：</w:t>
            </w:r>
          </w:p>
          <w:p>
            <w:pPr>
              <w:pStyle w:val="null3"/>
            </w:pPr>
            <w:r>
              <w:rPr>
                <w:rFonts w:ascii="仿宋_GB2312" w:hAnsi="仿宋_GB2312" w:cs="仿宋_GB2312" w:eastAsia="仿宋_GB2312"/>
              </w:rPr>
              <w:t>供应商负责平台全年系统运维、服务器维护、系统升级、漏洞修复及数据安全保障，完整保留平台全部原有功能，包含企业入驻、岗位发布、简历投递、在线沟通、人才检索、招聘数据统计、政策展示等功能模块。全程配备专职技术客服，及时处理企业、求职者平台注册、账号使用、岗位发布、简历投递等各类操作问题。定期梳理平台岗位数据、求职人才数据，清理过期失效岗位与无效信息，保障平台信息真实有效、岗位资源精准匹配。同时配合各类线上招聘活动，做好平台后台支撑、线上活动专区搭建、数据统计汇总工作，按要求整理平台运营台账、后台数据报表，落实资料归档报送工作，全面保障线上就业招聘服务常态化、规范化开展。</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按照项目实施需求配置。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按照项目实施需求配置。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质量保证期：自项目实施之日起至项目结束。 知识产权归属和处理方式： 1、供应商应保证在本项目使用的任何产品和服务（包括部分使用）时，不会产生因第三方提出侵犯其专利权、商标权或其他知识产权而引起的法律和经济纠纷，如因专利权、商标权或其他知识产权而引起法律纠纷和经济纠纷，由供应商承担所有相关责任。 2、采购人享有本项目在实施过程中产生的知识成果及知识产权。 3、供应商若在项目实施过程中采用自有知识成果，需在磋商响应文件中声明，并提供相关知识产权证明文件。使用该知识成果后，供应商须提供开发接口和开发手册等技术文档，并承诺提供无限期技术支持，采购人享有永久使用权。 4、供应商若在项目实施过程中采用非自有知识产权，则在响应报价中必须包括合法获取该知识产权的相关费用。 5、供应商保证所交付的服务和服务所涉及的物品所有权无任何抵押、查封等权利瑕疵。</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西安市新城区人力资源和社会保障局指定地点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1、参照《财政部关于进一步加强政府采购需求和履约验收管理的指导意见》(财库(2016) 205号，经采购人组织验收。 2、①供应商应按磋商文件规定及响应文件承诺的技术性能、技术要求、质量标准向采购人提供服务；若无特殊说明，则按国家有关部门最新颁布的标准及规范为准。 ②供应商应保证其提供的服务是全面和规范的，并完全符合磋商文件及响应文件。如因供应商提供的服务有瑕疵造成采购人损失的，所需费用由供应商承担。 ③合同履行期内，供应商应对所提供服务出现的质量及安全问题负责处理解决并承担一切费用。</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进度款，合同签订生效后，达到付款条件起30个工作日内，支付合同总金额的60.0%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进度款，项目内容完成并经验收合格后，达到付款条件起30个工作日内，支付合同总金额的40.0%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履行本合同引起的或与本合同有关的争议，甲、乙双方应首先通过友好协商解决;如果协商不能解决争议，甲乙双方可采取向甲方所在地仲裁委员会按其仲裁规则申请仲裁或向甲方所在地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8月（含8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8月（含8月）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3资格证明文件.docx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响应文件截止时间不足一年的可提供成立后任意时段的资产负债表），或提交自2026年1月1日以来银行出具的资信证明（以上两种形式的资料提供任何一种即可）；其他组织和自然人提供银行出具的资信证明或财务报表。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响应函 3资格证明文件.docx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供应商应为中型企业或小型、微型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法定代表人授权本单位他人参加磋商的，须提供法定代表人授权委托书及被授权人身份证明及被授权人磋商截止前3个月内（不含开标当月）任意一个月在本单位的社保缴纳证明。</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本项目不接受联合体投标，不允许分包。供应商应提供《非联合体不分包投标声明》。</w:t>
            </w:r>
          </w:p>
        </w:tc>
        <w:tc>
          <w:tcPr>
            <w:tcW w:type="dxa" w:w="1661"/>
          </w:tcPr>
          <w:p>
            <w:pPr>
              <w:pStyle w:val="null3"/>
            </w:pPr>
            <w:r>
              <w:rPr>
                <w:rFonts w:ascii="仿宋_GB2312" w:hAnsi="仿宋_GB2312" w:cs="仿宋_GB2312" w:eastAsia="仿宋_GB2312"/>
              </w:rPr>
              <w:t>3资格证明文件.docx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响应文件按照磋商文件规定要求签署、盖章的</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总报价</w:t>
            </w:r>
          </w:p>
        </w:tc>
        <w:tc>
          <w:tcPr>
            <w:tcW w:type="dxa" w:w="3322"/>
          </w:tcPr>
          <w:p>
            <w:pPr>
              <w:pStyle w:val="null3"/>
            </w:pPr>
            <w:r>
              <w:rPr>
                <w:rFonts w:ascii="仿宋_GB2312" w:hAnsi="仿宋_GB2312" w:cs="仿宋_GB2312" w:eastAsia="仿宋_GB2312"/>
              </w:rPr>
              <w:t>总报价未超过磋商文件中规定的最高限价的</w:t>
            </w:r>
          </w:p>
        </w:tc>
        <w:tc>
          <w:tcPr>
            <w:tcW w:type="dxa" w:w="1661"/>
          </w:tcPr>
          <w:p>
            <w:pPr>
              <w:pStyle w:val="null3"/>
            </w:pPr>
            <w:r>
              <w:rPr>
                <w:rFonts w:ascii="仿宋_GB2312" w:hAnsi="仿宋_GB2312" w:cs="仿宋_GB2312" w:eastAsia="仿宋_GB2312"/>
              </w:rPr>
              <w:t>1分项价格表.docx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满足本磋商文件中3.3商务要求中服务期限、服务地点、支付约定要求的</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4承诺书西安市.docx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需求理解</w:t>
            </w:r>
          </w:p>
        </w:tc>
        <w:tc>
          <w:tcPr>
            <w:tcW w:type="dxa" w:w="2492"/>
          </w:tcPr>
          <w:p>
            <w:pPr>
              <w:pStyle w:val="null3"/>
            </w:pPr>
            <w:r>
              <w:rPr>
                <w:rFonts w:ascii="仿宋_GB2312" w:hAnsi="仿宋_GB2312" w:cs="仿宋_GB2312" w:eastAsia="仿宋_GB2312"/>
              </w:rPr>
              <w:t>供应商针对本项目提供需求理解分析，内容包括但不限于①对采购人开展招聘活动的需求理解分析②项目重难点分析及解决措施。 上述2项内容，每提供1项内容计3分，每项内容存在1处瑕疵扣0.5分；本评分点满分6分。 （本文所称“瑕疵”是指内容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中，针对瑕疵的定义同此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6需求理解.docx</w:t>
            </w:r>
          </w:p>
          <w:p>
            <w:pPr>
              <w:pStyle w:val="null3"/>
            </w:pPr>
            <w:r>
              <w:rPr>
                <w:rFonts w:ascii="仿宋_GB2312" w:hAnsi="仿宋_GB2312" w:cs="仿宋_GB2312" w:eastAsia="仿宋_GB2312"/>
              </w:rPr>
              <w:t>5服务响应偏离表.docx</w:t>
            </w:r>
          </w:p>
        </w:tc>
      </w:tr>
      <w:tr>
        <w:tc>
          <w:tcPr>
            <w:tcW w:type="dxa" w:w="831"/>
            <w:vMerge/>
          </w:tcPr>
          <w:p/>
        </w:tc>
        <w:tc>
          <w:tcPr>
            <w:tcW w:type="dxa" w:w="1661"/>
          </w:tcPr>
          <w:p>
            <w:pPr>
              <w:pStyle w:val="null3"/>
            </w:pPr>
            <w:r>
              <w:rPr>
                <w:rFonts w:ascii="仿宋_GB2312" w:hAnsi="仿宋_GB2312" w:cs="仿宋_GB2312" w:eastAsia="仿宋_GB2312"/>
              </w:rPr>
              <w:t>现场招聘会组织方案</w:t>
            </w:r>
          </w:p>
        </w:tc>
        <w:tc>
          <w:tcPr>
            <w:tcW w:type="dxa" w:w="2492"/>
          </w:tcPr>
          <w:p>
            <w:pPr>
              <w:pStyle w:val="null3"/>
            </w:pPr>
            <w:r>
              <w:rPr>
                <w:rFonts w:ascii="仿宋_GB2312" w:hAnsi="仿宋_GB2312" w:cs="仿宋_GB2312" w:eastAsia="仿宋_GB2312"/>
              </w:rPr>
              <w:t>供应商针对本项目采购需求提供现场招聘会组织方案，内容包括但不限于①活动方案策划②企业邀约、资质审核与岗位梳理计划③物料设计制作、现场搭建撤场安排④现场运维服务与秩序保障。 上述4项内容，每提供1项内容计2分，每项内容存在1处瑕疵扣0.5分；本评分点满分8分。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7现场招聘会组织方案.docx</w:t>
            </w:r>
          </w:p>
        </w:tc>
      </w:tr>
      <w:tr>
        <w:tc>
          <w:tcPr>
            <w:tcW w:type="dxa" w:w="831"/>
            <w:vMerge/>
          </w:tcPr>
          <w:p/>
        </w:tc>
        <w:tc>
          <w:tcPr>
            <w:tcW w:type="dxa" w:w="1661"/>
          </w:tcPr>
          <w:p>
            <w:pPr>
              <w:pStyle w:val="null3"/>
            </w:pPr>
            <w:r>
              <w:rPr>
                <w:rFonts w:ascii="仿宋_GB2312" w:hAnsi="仿宋_GB2312" w:cs="仿宋_GB2312" w:eastAsia="仿宋_GB2312"/>
              </w:rPr>
              <w:t>直播带岗全流程实施方案</w:t>
            </w:r>
          </w:p>
        </w:tc>
        <w:tc>
          <w:tcPr>
            <w:tcW w:type="dxa" w:w="2492"/>
          </w:tcPr>
          <w:p>
            <w:pPr>
              <w:pStyle w:val="null3"/>
            </w:pPr>
            <w:r>
              <w:rPr>
                <w:rFonts w:ascii="仿宋_GB2312" w:hAnsi="仿宋_GB2312" w:cs="仿宋_GB2312" w:eastAsia="仿宋_GB2312"/>
              </w:rPr>
              <w:t>供应商针对本项目采购需求提供直播带岗全流程实施方案，内容包括但不限于①招聘会现场走播实施安排②入企直播带岗实施安排③直播集锦实施安排。 上述3项内容，每提供1项内容计2分，每项内容存在1处瑕疵扣0.5分；本评分点满分6分。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8直播带岗全流程实施方案.docx</w:t>
            </w:r>
          </w:p>
        </w:tc>
      </w:tr>
      <w:tr>
        <w:tc>
          <w:tcPr>
            <w:tcW w:type="dxa" w:w="831"/>
            <w:vMerge/>
          </w:tcPr>
          <w:p/>
        </w:tc>
        <w:tc>
          <w:tcPr>
            <w:tcW w:type="dxa" w:w="1661"/>
          </w:tcPr>
          <w:p>
            <w:pPr>
              <w:pStyle w:val="null3"/>
            </w:pPr>
            <w:r>
              <w:rPr>
                <w:rFonts w:ascii="仿宋_GB2312" w:hAnsi="仿宋_GB2312" w:cs="仿宋_GB2312" w:eastAsia="仿宋_GB2312"/>
              </w:rPr>
              <w:t>就业服务进社区活动实施方案</w:t>
            </w:r>
          </w:p>
        </w:tc>
        <w:tc>
          <w:tcPr>
            <w:tcW w:type="dxa" w:w="2492"/>
          </w:tcPr>
          <w:p>
            <w:pPr>
              <w:pStyle w:val="null3"/>
            </w:pPr>
            <w:r>
              <w:rPr>
                <w:rFonts w:ascii="仿宋_GB2312" w:hAnsi="仿宋_GB2312" w:cs="仿宋_GB2312" w:eastAsia="仿宋_GB2312"/>
              </w:rPr>
              <w:t>供应商针对本项目采购需求提供就业服务进社区活动实施方案，内容包括但不限于①活动组织安排②活动覆盖范围。 上述2项内容，每提供1项内容计2分，每项内容存在1处瑕疵扣0.5分；本评分点满分4分。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9就业服务进社区活动实施方案.docx</w:t>
            </w:r>
          </w:p>
        </w:tc>
      </w:tr>
      <w:tr>
        <w:tc>
          <w:tcPr>
            <w:tcW w:type="dxa" w:w="831"/>
            <w:vMerge/>
          </w:tcPr>
          <w:p/>
        </w:tc>
        <w:tc>
          <w:tcPr>
            <w:tcW w:type="dxa" w:w="1661"/>
          </w:tcPr>
          <w:p>
            <w:pPr>
              <w:pStyle w:val="null3"/>
            </w:pPr>
            <w:r>
              <w:rPr>
                <w:rFonts w:ascii="仿宋_GB2312" w:hAnsi="仿宋_GB2312" w:cs="仿宋_GB2312" w:eastAsia="仿宋_GB2312"/>
              </w:rPr>
              <w:t>媒体宣传方案</w:t>
            </w:r>
          </w:p>
        </w:tc>
        <w:tc>
          <w:tcPr>
            <w:tcW w:type="dxa" w:w="2492"/>
          </w:tcPr>
          <w:p>
            <w:pPr>
              <w:pStyle w:val="null3"/>
            </w:pPr>
            <w:r>
              <w:rPr>
                <w:rFonts w:ascii="仿宋_GB2312" w:hAnsi="仿宋_GB2312" w:cs="仿宋_GB2312" w:eastAsia="仿宋_GB2312"/>
              </w:rPr>
              <w:t>供应商针对本项目采购需求提供媒体宣传方案，包括①推广渠道②推广引流计划安排。 上述2项内容，每提供1项内容计3分，每项内容存在1处瑕疵扣0.5分；本评分点满分6分。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10媒体宣传方案.docx</w:t>
            </w:r>
          </w:p>
        </w:tc>
      </w:tr>
      <w:tr>
        <w:tc>
          <w:tcPr>
            <w:tcW w:type="dxa" w:w="831"/>
            <w:vMerge/>
          </w:tcPr>
          <w:p/>
        </w:tc>
        <w:tc>
          <w:tcPr>
            <w:tcW w:type="dxa" w:w="1661"/>
          </w:tcPr>
          <w:p>
            <w:pPr>
              <w:pStyle w:val="null3"/>
            </w:pPr>
            <w:r>
              <w:rPr>
                <w:rFonts w:ascii="仿宋_GB2312" w:hAnsi="仿宋_GB2312" w:cs="仿宋_GB2312" w:eastAsia="仿宋_GB2312"/>
              </w:rPr>
              <w:t>运维方案</w:t>
            </w:r>
          </w:p>
        </w:tc>
        <w:tc>
          <w:tcPr>
            <w:tcW w:type="dxa" w:w="2492"/>
          </w:tcPr>
          <w:p>
            <w:pPr>
              <w:pStyle w:val="null3"/>
            </w:pPr>
            <w:r>
              <w:rPr>
                <w:rFonts w:ascii="仿宋_GB2312" w:hAnsi="仿宋_GB2312" w:cs="仿宋_GB2312" w:eastAsia="仿宋_GB2312"/>
              </w:rPr>
              <w:t>供应商提供针对本项目提供云人才市场网络招聘平台运维方案，包括①运维人员配备②运维服务标准、问题响应时效。 上述2项内容，每提供1项内容计2分，每项内容存在1处瑕疵扣0.5分；本评分点满分4分。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11运维方案.docx</w:t>
            </w:r>
          </w:p>
        </w:tc>
      </w:tr>
      <w:tr>
        <w:tc>
          <w:tcPr>
            <w:tcW w:type="dxa" w:w="831"/>
            <w:vMerge/>
          </w:tcPr>
          <w:p/>
        </w:tc>
        <w:tc>
          <w:tcPr>
            <w:tcW w:type="dxa" w:w="1661"/>
          </w:tcPr>
          <w:p>
            <w:pPr>
              <w:pStyle w:val="null3"/>
            </w:pPr>
            <w:r>
              <w:rPr>
                <w:rFonts w:ascii="仿宋_GB2312" w:hAnsi="仿宋_GB2312" w:cs="仿宋_GB2312" w:eastAsia="仿宋_GB2312"/>
              </w:rPr>
              <w:t>项目保障措施</w:t>
            </w:r>
          </w:p>
        </w:tc>
        <w:tc>
          <w:tcPr>
            <w:tcW w:type="dxa" w:w="2492"/>
          </w:tcPr>
          <w:p>
            <w:pPr>
              <w:pStyle w:val="null3"/>
            </w:pPr>
            <w:r>
              <w:rPr>
                <w:rFonts w:ascii="仿宋_GB2312" w:hAnsi="仿宋_GB2312" w:cs="仿宋_GB2312" w:eastAsia="仿宋_GB2312"/>
              </w:rPr>
              <w:t>供应商针对本项目提供保障措施，内容包括但不限于：①项目实施进度计划安排；②质量保障措施；③安全保障措施。 上述3项内容，每提供1项内容计2分，每项内容存在1处瑕疵扣0.5分；本评分点满分6分。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12项目保障措施.docx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供应商提供针对本项目现场招聘会、直播带岗、就业服务进社区活动的团队人员清单，明确人员姓名、身份证号、岗位安排【所有人员均需提供在职证明（劳动合同或2026年1月至今任意一个月的本单位的社保缴纳证明】： 1、岗位包括①项目负责人②策划③执行专员④摄像/拍摄人员⑤宣传人员⑥后勤保障人员（负责物料、安全、设备调试等后勤工作）⑦后期制作平面设计等。供应商提供的人员清单，岗位设置每包含上述一项岗位计1分，满分7分。 2、配备团队人员≥15人计3分，10人≤团队人员＜15人计2分，5人≤团队人员＜10人计1分，其余不计分。 3、拟派项目负责人：供应商针对本项目的拟派项目负责人具备3年及以上组织招聘会相关工作经验，满足上述要求计3分，否则不计分。 备注：须提供项目负责人工作履历证明，否则不予计分。 4、团队人员（不含负责人）：拟投入团队中每有1人具有相关专业学历或2年以上岗位工作经验的得1分，满分5分。 备注：须提供团队人员工作履历或相关专业学历证明，否则不予计分。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13项目团队.docx</w:t>
            </w:r>
          </w:p>
        </w:tc>
      </w:tr>
      <w:tr>
        <w:tc>
          <w:tcPr>
            <w:tcW w:type="dxa" w:w="831"/>
            <w:vMerge/>
          </w:tcPr>
          <w:p/>
        </w:tc>
        <w:tc>
          <w:tcPr>
            <w:tcW w:type="dxa" w:w="1661"/>
          </w:tcPr>
          <w:p>
            <w:pPr>
              <w:pStyle w:val="null3"/>
            </w:pPr>
            <w:r>
              <w:rPr>
                <w:rFonts w:ascii="仿宋_GB2312" w:hAnsi="仿宋_GB2312" w:cs="仿宋_GB2312" w:eastAsia="仿宋_GB2312"/>
              </w:rPr>
              <w:t>设备及物料</w:t>
            </w:r>
          </w:p>
        </w:tc>
        <w:tc>
          <w:tcPr>
            <w:tcW w:type="dxa" w:w="2492"/>
          </w:tcPr>
          <w:p>
            <w:pPr>
              <w:pStyle w:val="null3"/>
            </w:pPr>
            <w:r>
              <w:rPr>
                <w:rFonts w:ascii="仿宋_GB2312" w:hAnsi="仿宋_GB2312" w:cs="仿宋_GB2312" w:eastAsia="仿宋_GB2312"/>
              </w:rPr>
              <w:t>1.供应商提供针对本项目开展现场招聘会的物料清单，提供计2分。 2.供应商提供针对本项目直播拟投入的设备清单： ①清单内容包含高清摄像设备、专业收音设备、补光设备、稳定网络设备、直播后台操控设备，计2分。 ②在清单包含高清摄像设备、专业收音设备、补光设备、稳定网络设备、直播后台操控设备的基础上，提供设备购置或租赁证明材料，证明材料提供齐全计3分，否则不计分。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14设备及物料.docx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提供供应商2023年1月1日至今同类项目合同扫描件（以合同签订日期为准），扫描件必须清晰体现签约主体和日期、项目名称及内容等核心要素，否则不计为有效业绩。每提供1个有效业绩得2分，最高得10分。 备注：响应文件中提供合同扫描件加盖供应商公章。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15业绩.docx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供应商提供针对本项目的合理化建议，每提供一个经磋商小组一致认定的贴合本项目，有利于项目实施的合理化建议计2分，满分6分。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16合理化建议.docx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1、承诺供应商对采购人提出的意见和建议，要认真及时加以整改，承诺若出现不符合工作要求的服务人员，须根据采购人要求及时进行更换、补充。提供承诺函并加盖供应商公章，满足此要求计3分。 2、按时向采购人完成成果资料报送，确保所有活动资料完整、数据真实、归档规范，全程接受采购人监督、核查与考核。提供承诺函并加盖供应商公章，满足此要求计3分。 3、承诺对项目实施过程中获取的企业资质信息、求职人员个人信息等敏感数据严格保密，不以任何形式泄露、出售或用于与本项目无关的其他用途；项目结束后按采购人要求处置或移交全部数据资料。提供承诺函并加盖供应商公章，满足此要求计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17服务承诺.docx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即满足磋商文件要求且价格最低的报价为磋商基准价，其价格分为满分。其他响应单位的价格分统一按照下列公式计算： 磋商报价得分=（评标基准价/磋商报价）×价格权值×100。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详见附件：3资格证明文件.docx</w:t>
      </w:r>
    </w:p>
    <w:p>
      <w:pPr>
        <w:pStyle w:val="null3"/>
        <w:ind w:firstLine="960"/>
      </w:pPr>
      <w:r>
        <w:rPr>
          <w:rFonts w:ascii="仿宋_GB2312" w:hAnsi="仿宋_GB2312" w:cs="仿宋_GB2312" w:eastAsia="仿宋_GB2312"/>
        </w:rPr>
        <w:t>详见附件：4承诺书西安市.docx</w:t>
      </w:r>
    </w:p>
    <w:p>
      <w:pPr>
        <w:pStyle w:val="null3"/>
        <w:ind w:firstLine="960"/>
      </w:pPr>
      <w:r>
        <w:rPr>
          <w:rFonts w:ascii="仿宋_GB2312" w:hAnsi="仿宋_GB2312" w:cs="仿宋_GB2312" w:eastAsia="仿宋_GB2312"/>
        </w:rPr>
        <w:t>详见附件：5服务响应偏离表.docx</w:t>
      </w:r>
    </w:p>
    <w:p>
      <w:pPr>
        <w:pStyle w:val="null3"/>
        <w:ind w:firstLine="960"/>
      </w:pPr>
      <w:r>
        <w:rPr>
          <w:rFonts w:ascii="仿宋_GB2312" w:hAnsi="仿宋_GB2312" w:cs="仿宋_GB2312" w:eastAsia="仿宋_GB2312"/>
        </w:rPr>
        <w:t>详见附件：6需求理解.docx</w:t>
      </w:r>
    </w:p>
    <w:p>
      <w:pPr>
        <w:pStyle w:val="null3"/>
        <w:ind w:firstLine="960"/>
      </w:pPr>
      <w:r>
        <w:rPr>
          <w:rFonts w:ascii="仿宋_GB2312" w:hAnsi="仿宋_GB2312" w:cs="仿宋_GB2312" w:eastAsia="仿宋_GB2312"/>
        </w:rPr>
        <w:t>详见附件：7现场招聘会组织方案.docx</w:t>
      </w:r>
    </w:p>
    <w:p>
      <w:pPr>
        <w:pStyle w:val="null3"/>
        <w:ind w:firstLine="960"/>
      </w:pPr>
      <w:r>
        <w:rPr>
          <w:rFonts w:ascii="仿宋_GB2312" w:hAnsi="仿宋_GB2312" w:cs="仿宋_GB2312" w:eastAsia="仿宋_GB2312"/>
        </w:rPr>
        <w:t>详见附件：8直播带岗全流程实施方案.docx</w:t>
      </w:r>
    </w:p>
    <w:p>
      <w:pPr>
        <w:pStyle w:val="null3"/>
        <w:ind w:firstLine="960"/>
      </w:pPr>
      <w:r>
        <w:rPr>
          <w:rFonts w:ascii="仿宋_GB2312" w:hAnsi="仿宋_GB2312" w:cs="仿宋_GB2312" w:eastAsia="仿宋_GB2312"/>
        </w:rPr>
        <w:t>详见附件：9就业服务进社区活动实施方案.docx</w:t>
      </w:r>
    </w:p>
    <w:p>
      <w:pPr>
        <w:pStyle w:val="null3"/>
        <w:ind w:firstLine="960"/>
      </w:pPr>
      <w:r>
        <w:rPr>
          <w:rFonts w:ascii="仿宋_GB2312" w:hAnsi="仿宋_GB2312" w:cs="仿宋_GB2312" w:eastAsia="仿宋_GB2312"/>
        </w:rPr>
        <w:t>详见附件：10媒体宣传方案.docx</w:t>
      </w:r>
    </w:p>
    <w:p>
      <w:pPr>
        <w:pStyle w:val="null3"/>
        <w:ind w:firstLine="960"/>
      </w:pPr>
      <w:r>
        <w:rPr>
          <w:rFonts w:ascii="仿宋_GB2312" w:hAnsi="仿宋_GB2312" w:cs="仿宋_GB2312" w:eastAsia="仿宋_GB2312"/>
        </w:rPr>
        <w:t>详见附件：11运维方案.docx</w:t>
      </w:r>
    </w:p>
    <w:p>
      <w:pPr>
        <w:pStyle w:val="null3"/>
        <w:ind w:firstLine="960"/>
      </w:pPr>
      <w:r>
        <w:rPr>
          <w:rFonts w:ascii="仿宋_GB2312" w:hAnsi="仿宋_GB2312" w:cs="仿宋_GB2312" w:eastAsia="仿宋_GB2312"/>
        </w:rPr>
        <w:t>详见附件：12项目保障措施.docx</w:t>
      </w:r>
    </w:p>
    <w:p>
      <w:pPr>
        <w:pStyle w:val="null3"/>
        <w:ind w:firstLine="960"/>
      </w:pPr>
      <w:r>
        <w:rPr>
          <w:rFonts w:ascii="仿宋_GB2312" w:hAnsi="仿宋_GB2312" w:cs="仿宋_GB2312" w:eastAsia="仿宋_GB2312"/>
        </w:rPr>
        <w:t>详见附件：13项目团队.docx</w:t>
      </w:r>
    </w:p>
    <w:p>
      <w:pPr>
        <w:pStyle w:val="null3"/>
        <w:ind w:firstLine="960"/>
      </w:pPr>
      <w:r>
        <w:rPr>
          <w:rFonts w:ascii="仿宋_GB2312" w:hAnsi="仿宋_GB2312" w:cs="仿宋_GB2312" w:eastAsia="仿宋_GB2312"/>
        </w:rPr>
        <w:t>详见附件：14设备及物料.docx</w:t>
      </w:r>
    </w:p>
    <w:p>
      <w:pPr>
        <w:pStyle w:val="null3"/>
        <w:ind w:firstLine="960"/>
      </w:pPr>
      <w:r>
        <w:rPr>
          <w:rFonts w:ascii="仿宋_GB2312" w:hAnsi="仿宋_GB2312" w:cs="仿宋_GB2312" w:eastAsia="仿宋_GB2312"/>
        </w:rPr>
        <w:t>详见附件：15业绩.docx</w:t>
      </w:r>
    </w:p>
    <w:p>
      <w:pPr>
        <w:pStyle w:val="null3"/>
        <w:ind w:firstLine="960"/>
      </w:pPr>
      <w:r>
        <w:rPr>
          <w:rFonts w:ascii="仿宋_GB2312" w:hAnsi="仿宋_GB2312" w:cs="仿宋_GB2312" w:eastAsia="仿宋_GB2312"/>
        </w:rPr>
        <w:t>详见附件：16合理化建议.docx</w:t>
      </w:r>
    </w:p>
    <w:p>
      <w:pPr>
        <w:pStyle w:val="null3"/>
        <w:ind w:firstLine="960"/>
      </w:pPr>
      <w:r>
        <w:rPr>
          <w:rFonts w:ascii="仿宋_GB2312" w:hAnsi="仿宋_GB2312" w:cs="仿宋_GB2312" w:eastAsia="仿宋_GB2312"/>
        </w:rPr>
        <w:t>详见附件：17服务承诺.docx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