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版本号：ZMZB2026XJD-31220260821001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智造智能感知及协控系统采购项目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ZMZB2026XJD-312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智造智能感知及协控系统采购项目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ZMZB2026XJD-312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智造智能感知及协控系统采购项目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智造智能感知及协控系统采购项目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采购包1（智造智能感知及协控系统采购项目）：属于专门面向中小企业采购。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智造智能感知及协控系统1套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智造智能感知及协控系统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标的名称：智造智能感知及协控系统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视觉感知系统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面阵相机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≥5472*3648，光学尺寸≥1”；黑白输出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6芯航空插头，支持1路外部触发信号输入和频闪灯控制输出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CMOS传感器，支持ROI开窗功能，行曝光，帧率≥5fps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正版</w:t>
            </w:r>
            <w:r>
              <w:rPr>
                <w:rFonts w:ascii="仿宋_GB2312" w:hAnsi="仿宋_GB2312" w:cs="仿宋_GB2312" w:eastAsia="仿宋_GB2312"/>
                <w:sz w:val="21"/>
              </w:rPr>
              <w:t>操作系统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SDK二次开发包，支持VB.NET/VC/C#/QT/Open CV /Python等例程源代码及开发手册，兼容Halcon、 Labview、 VisionPro、 Matlab、VisionBank等第三方图像处理软件并提供配套调用使用手册</w:t>
            </w:r>
            <w:r>
              <w:rPr>
                <w:rFonts w:ascii="仿宋_GB2312" w:hAnsi="仿宋_GB2312" w:cs="仿宋_GB2312" w:eastAsia="仿宋_GB2312"/>
                <w:sz w:val="21"/>
              </w:rPr>
              <w:t>。</w:t>
            </w:r>
            <w:r>
              <w:rPr>
                <w:rFonts w:ascii="仿宋_GB2312" w:hAnsi="仿宋_GB2312" w:cs="仿宋_GB2312" w:eastAsia="仿宋_GB2312"/>
                <w:sz w:val="21"/>
                <w:b/>
              </w:rPr>
              <w:t>（提供相关证明材料及其中两种语言环境下的二次开发例程源码编译及运行界面截图，</w:t>
            </w:r>
            <w:r>
              <w:rPr>
                <w:rFonts w:ascii="仿宋_GB2312" w:hAnsi="仿宋_GB2312" w:cs="仿宋_GB2312" w:eastAsia="仿宋_GB2312"/>
                <w:sz w:val="21"/>
                <w:b/>
              </w:rPr>
              <w:t>并加盖投标供应商公章</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相机可支持断网断电续传功能，在网络及电源断开重新连接时可自动继续工作；支持交叠</w:t>
            </w:r>
            <w:r>
              <w:rPr>
                <w:rFonts w:ascii="仿宋_GB2312" w:hAnsi="仿宋_GB2312" w:cs="仿宋_GB2312" w:eastAsia="仿宋_GB2312"/>
                <w:sz w:val="21"/>
              </w:rPr>
              <w:t>外</w:t>
            </w:r>
            <w:r>
              <w:rPr>
                <w:rFonts w:ascii="仿宋_GB2312" w:hAnsi="仿宋_GB2312" w:cs="仿宋_GB2312" w:eastAsia="仿宋_GB2312"/>
                <w:sz w:val="21"/>
              </w:rPr>
              <w:t>触发</w:t>
            </w:r>
            <w:r>
              <w:rPr>
                <w:rFonts w:ascii="仿宋_GB2312" w:hAnsi="仿宋_GB2312" w:cs="仿宋_GB2312" w:eastAsia="仿宋_GB2312"/>
                <w:sz w:val="21"/>
              </w:rPr>
              <w:t>，触发可以达到最大帧率。</w:t>
            </w:r>
            <w:r>
              <w:rPr>
                <w:rFonts w:ascii="仿宋_GB2312" w:hAnsi="仿宋_GB2312" w:cs="仿宋_GB2312" w:eastAsia="仿宋_GB2312"/>
                <w:sz w:val="21"/>
                <w:b/>
              </w:rPr>
              <w:t>（</w:t>
            </w:r>
            <w:r>
              <w:rPr>
                <w:rFonts w:ascii="仿宋_GB2312" w:hAnsi="仿宋_GB2312" w:cs="仿宋_GB2312" w:eastAsia="仿宋_GB2312"/>
                <w:sz w:val="21"/>
                <w:b/>
                <w:color w:val="000000"/>
              </w:rPr>
              <w:t>提供证明材料。</w:t>
            </w:r>
            <w:r>
              <w:rPr>
                <w:rFonts w:ascii="仿宋_GB2312" w:hAnsi="仿宋_GB2312" w:cs="仿宋_GB2312" w:eastAsia="仿宋_GB2312"/>
                <w:sz w:val="21"/>
                <w:b/>
                <w:color w:val="000000"/>
              </w:rPr>
              <w:t>证明材料</w:t>
            </w:r>
            <w:r>
              <w:rPr>
                <w:rFonts w:ascii="仿宋_GB2312" w:hAnsi="仿宋_GB2312" w:cs="仿宋_GB2312" w:eastAsia="仿宋_GB2312"/>
                <w:sz w:val="21"/>
                <w:b/>
              </w:rPr>
              <w:t>加盖投标供应商公章</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）配套</w:t>
            </w:r>
            <w:r>
              <w:rPr>
                <w:rFonts w:ascii="仿宋_GB2312" w:hAnsi="仿宋_GB2312" w:cs="仿宋_GB2312" w:eastAsia="仿宋_GB2312"/>
                <w:sz w:val="21"/>
              </w:rPr>
              <w:t>≥2500万像素FA 定焦镜头，</w:t>
            </w:r>
            <w:r>
              <w:rPr>
                <w:rFonts w:ascii="仿宋_GB2312" w:hAnsi="仿宋_GB2312" w:cs="仿宋_GB2312" w:eastAsia="仿宋_GB2312"/>
                <w:sz w:val="21"/>
              </w:rPr>
              <w:t>≥15mm焦距，</w:t>
            </w:r>
            <w:r>
              <w:rPr>
                <w:rFonts w:ascii="仿宋_GB2312" w:hAnsi="仿宋_GB2312" w:cs="仿宋_GB2312" w:eastAsia="仿宋_GB2312"/>
                <w:sz w:val="21"/>
              </w:rPr>
              <w:t>适配相机靶面</w:t>
            </w:r>
            <w:r>
              <w:rPr>
                <w:rFonts w:ascii="仿宋_GB2312" w:hAnsi="仿宋_GB2312" w:cs="仿宋_GB2312" w:eastAsia="仿宋_GB2312"/>
                <w:sz w:val="21"/>
              </w:rPr>
              <w:t>≥</w:t>
            </w:r>
            <w:r>
              <w:rPr>
                <w:rFonts w:ascii="仿宋_GB2312" w:hAnsi="仿宋_GB2312" w:cs="仿宋_GB2312" w:eastAsia="仿宋_GB2312"/>
                <w:sz w:val="21"/>
              </w:rPr>
              <w:t>1英寸，C接口</w:t>
            </w:r>
          </w:p>
          <w:p>
            <w:pPr>
              <w:pStyle w:val="null3"/>
              <w:jc w:val="both"/>
            </w:pPr>
            <w:r>
              <w:rPr>
                <w:rFonts w:ascii="仿宋_GB2312" w:hAnsi="仿宋_GB2312" w:cs="仿宋_GB2312" w:eastAsia="仿宋_GB2312"/>
                <w:sz w:val="21"/>
              </w:rPr>
              <w:t>2、面阵相机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1）最高分辨率≥4608*3288，光学尺寸≥1/2.3”；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2）输出6芯航空插头，支持1路外部触发信号输入和频闪灯控制输出功能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3）CMOS传感器类型，支持ROI开窗功能，行曝光，帧率≥5fps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正版</w:t>
            </w:r>
            <w:r>
              <w:rPr>
                <w:rFonts w:ascii="仿宋_GB2312" w:hAnsi="仿宋_GB2312" w:cs="仿宋_GB2312" w:eastAsia="仿宋_GB2312"/>
                <w:sz w:val="21"/>
              </w:rPr>
              <w:t>操作系统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SDK二次开发包，支持VB.NET/VC/C#/QT/Open CV /Python等例程源代码及开发手册，兼容Halcon、Labview、VisionPro、 Matlab、VisionBank等第三方图像处理软件并提供配套调用使用手册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相机可支持断网断电续传功能，在网络及电源断开重新连接时可自动继续工作；支持交叠</w:t>
            </w:r>
            <w:r>
              <w:rPr>
                <w:rFonts w:ascii="仿宋_GB2312" w:hAnsi="仿宋_GB2312" w:cs="仿宋_GB2312" w:eastAsia="仿宋_GB2312"/>
                <w:sz w:val="21"/>
              </w:rPr>
              <w:t>外</w:t>
            </w:r>
            <w:r>
              <w:rPr>
                <w:rFonts w:ascii="仿宋_GB2312" w:hAnsi="仿宋_GB2312" w:cs="仿宋_GB2312" w:eastAsia="仿宋_GB2312"/>
                <w:sz w:val="21"/>
              </w:rPr>
              <w:t>触发，触发可以达到最大帧率。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）配套</w:t>
            </w:r>
            <w:r>
              <w:rPr>
                <w:rFonts w:ascii="仿宋_GB2312" w:hAnsi="仿宋_GB2312" w:cs="仿宋_GB2312" w:eastAsia="仿宋_GB2312"/>
                <w:sz w:val="21"/>
              </w:rPr>
              <w:t>≥1600万像素FA定焦镜头，≥12mm焦距，适配相机靶面≥ 2/3 英寸相机，C接口</w:t>
            </w:r>
          </w:p>
          <w:p>
            <w:pPr>
              <w:pStyle w:val="null3"/>
              <w:jc w:val="both"/>
            </w:pPr>
            <w:r>
              <w:rPr>
                <w:rFonts w:ascii="仿宋_GB2312" w:hAnsi="仿宋_GB2312" w:cs="仿宋_GB2312" w:eastAsia="仿宋_GB2312"/>
                <w:sz w:val="21"/>
              </w:rPr>
              <w:t>3、静态支架：同时支持≥2台相机组成双目系统使用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1）双目水平横杆：性能规格：工作距离至少覆盖1200~2500mm，相机夹角范围5°~22°、基线距离≥290mm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2）三脚架：三维云台；承重≥5kg ，高度范围：700mm~1550mm，收纳高度≥750mm。</w:t>
            </w:r>
          </w:p>
          <w:p>
            <w:pPr>
              <w:pStyle w:val="null3"/>
              <w:jc w:val="both"/>
            </w:pPr>
            <w:r>
              <w:rPr>
                <w:rFonts w:ascii="仿宋_GB2312" w:hAnsi="仿宋_GB2312" w:cs="仿宋_GB2312" w:eastAsia="仿宋_GB2312"/>
                <w:sz w:val="21"/>
              </w:rPr>
              <w:t>4、结构光3D相机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1）工作距离：1500-3500mm；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2）近端视场≥1840×1330mm；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3）远端视场≥3790×3100mm；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4）基线长度≥400mm；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5）分辨率：黑白≥1624×1240/彩色≥2272×1648</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6）Z轴精度：≤0.65mm@3.0m；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7）Z轴重复精度≤72μm@（1.5-3.5）m；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8）像素间距：黑白≤1.2mm@1.5m，≤2.7mm@3.5m，彩色≤0.95mm@1.5m，≤2.2mm@3.5m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9）采集时间：≤2s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）工作温度范围：</w:t>
            </w:r>
            <w:r>
              <w:rPr>
                <w:rFonts w:ascii="仿宋_GB2312" w:hAnsi="仿宋_GB2312" w:cs="仿宋_GB2312" w:eastAsia="仿宋_GB2312"/>
                <w:sz w:val="21"/>
              </w:rPr>
              <w:t>-10℃~30℃;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）千兆以太网；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防护等级</w:t>
            </w:r>
            <w:r>
              <w:rPr>
                <w:rFonts w:ascii="仿宋_GB2312" w:hAnsi="仿宋_GB2312" w:cs="仿宋_GB2312" w:eastAsia="仿宋_GB2312"/>
                <w:sz w:val="21"/>
              </w:rPr>
              <w:t>不低于</w:t>
            </w:r>
            <w:r>
              <w:rPr>
                <w:rFonts w:ascii="仿宋_GB2312" w:hAnsi="仿宋_GB2312" w:cs="仿宋_GB2312" w:eastAsia="仿宋_GB2312"/>
                <w:sz w:val="21"/>
              </w:rPr>
              <w:t>IP65；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支持</w:t>
            </w:r>
            <w:r>
              <w:rPr>
                <w:rFonts w:ascii="仿宋_GB2312" w:hAnsi="仿宋_GB2312" w:cs="仿宋_GB2312" w:eastAsia="仿宋_GB2312"/>
                <w:sz w:val="21"/>
              </w:rPr>
              <w:t>正版</w:t>
            </w:r>
            <w:r>
              <w:rPr>
                <w:rFonts w:ascii="仿宋_GB2312" w:hAnsi="仿宋_GB2312" w:cs="仿宋_GB2312" w:eastAsia="仿宋_GB2312"/>
                <w:sz w:val="21"/>
              </w:rPr>
              <w:t>操作系统，支持</w:t>
            </w:r>
            <w:r>
              <w:rPr>
                <w:rFonts w:ascii="仿宋_GB2312" w:hAnsi="仿宋_GB2312" w:cs="仿宋_GB2312" w:eastAsia="仿宋_GB2312"/>
                <w:sz w:val="21"/>
              </w:rPr>
              <w:t>SDK二次开发接口，支持C、C++、C#、Python语言的开发；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）输出数据：点云图、深度图、灰度图</w:t>
            </w:r>
            <w:r>
              <w:rPr>
                <w:rFonts w:ascii="仿宋_GB2312" w:hAnsi="仿宋_GB2312" w:cs="仿宋_GB2312" w:eastAsia="仿宋_GB2312"/>
                <w:sz w:val="21"/>
              </w:rPr>
              <w:t>(RGB图)、彩色图</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5、激光相机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距离≥1600mm，,Z轴高度≥1500mm，X轴宽度：至少覆盖1000mm~1600mm，光源波长≥450nm蓝光，激光器等级不低于3R，激光器输出功率≥50mW，Z轴重复精度≤100μm。X轴重复精度≤150μm，X轴数据间隔≤500μm，Z轴线性度±0.05%的FS，X轴轮廓点数≥3200，反射角≥8°，扫描速度100-2200HZ。</w:t>
            </w:r>
          </w:p>
          <w:p>
            <w:pPr>
              <w:pStyle w:val="null3"/>
              <w:jc w:val="both"/>
            </w:pPr>
            <w:r>
              <w:rPr>
                <w:rFonts w:ascii="仿宋_GB2312" w:hAnsi="仿宋_GB2312" w:cs="仿宋_GB2312" w:eastAsia="仿宋_GB2312"/>
                <w:sz w:val="21"/>
              </w:rPr>
              <w:t>（二）智能感知具身智能系统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1）身高≥1700mm，肩宽≥500mm，厚度≥300mm,单臂有效作业长度≥650mm；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2）材质：航空铝和工程塑料；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负重</w:t>
            </w:r>
            <w:r>
              <w:rPr>
                <w:rFonts w:ascii="仿宋_GB2312" w:hAnsi="仿宋_GB2312" w:cs="仿宋_GB2312" w:eastAsia="仿宋_GB2312"/>
                <w:sz w:val="21"/>
              </w:rPr>
              <w:t>≥30kg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4）全身总自由度≥52，覆盖躯干、四肢关键活动关节。</w:t>
            </w:r>
            <w:r>
              <w:rPr>
                <w:rFonts w:ascii="仿宋_GB2312" w:hAnsi="仿宋_GB2312" w:cs="仿宋_GB2312" w:eastAsia="仿宋_GB2312"/>
                <w:sz w:val="21"/>
                <w:b/>
              </w:rPr>
              <w:t>(投标时需提供承诺函，承诺函格式自拟并加盖投标供应商公章。中标供应商供货时需提供第三方检测机构出具的检测报告复印件)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5）头部自由度（颈部）≥2个；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6）单腿自由度≥6个，</w:t>
            </w:r>
            <w:r>
              <w:rPr>
                <w:rFonts w:ascii="仿宋_GB2312" w:hAnsi="仿宋_GB2312" w:cs="仿宋_GB2312" w:eastAsia="仿宋_GB2312"/>
                <w:sz w:val="21"/>
              </w:rPr>
              <w:t>能完成</w:t>
            </w:r>
            <w:r>
              <w:rPr>
                <w:rFonts w:ascii="仿宋_GB2312" w:hAnsi="仿宋_GB2312" w:cs="仿宋_GB2312" w:eastAsia="仿宋_GB2312"/>
                <w:sz w:val="21"/>
              </w:rPr>
              <w:t>稳定行走、爬坡等动作；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7）单臂自由度≥7个，</w:t>
            </w:r>
            <w:r>
              <w:rPr>
                <w:rFonts w:ascii="仿宋_GB2312" w:hAnsi="仿宋_GB2312" w:cs="仿宋_GB2312" w:eastAsia="仿宋_GB2312"/>
                <w:sz w:val="21"/>
              </w:rPr>
              <w:t>能</w:t>
            </w:r>
            <w:r>
              <w:rPr>
                <w:rFonts w:ascii="仿宋_GB2312" w:hAnsi="仿宋_GB2312" w:cs="仿宋_GB2312" w:eastAsia="仿宋_GB2312"/>
                <w:sz w:val="21"/>
              </w:rPr>
              <w:t>完成精准伸展、旋转、定位等动作；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8）灵巧手:含触觉；自由度≥11 个，其中主动自由度≥6 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9）灵巧手驱动方式:空心杯电机；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10）灵巧手负载: ≥ 15kg。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11）关节电机：关节峰值推力≥8000N，支持位控和力控；关节峰值扭矩≥220Nm。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12）手臂负载:单臂 ≥14kg；双臂≥28kg</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提供证明材料。</w:t>
            </w:r>
            <w:r>
              <w:rPr>
                <w:rFonts w:ascii="仿宋_GB2312" w:hAnsi="仿宋_GB2312" w:cs="仿宋_GB2312" w:eastAsia="仿宋_GB2312"/>
                <w:sz w:val="21"/>
              </w:rPr>
              <w:t>中标供应商供货时需提供第三方检测机构出具的检测报告</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13）感知传感器:双目RGBD相机；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14）语音交互：远场MIC线性阵列麦克风≥4；立体声扬声器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15）支持WiFi 6、5G通信、蓝牙等通信方式；支持智能 OTA 升级；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16）支持遥控器操作或远程操作；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17）供电方式:电池；锂DC51.8V；容量≥1500Wh</w:t>
            </w:r>
            <w:r>
              <w:rPr>
                <w:rFonts w:ascii="仿宋_GB2312" w:hAnsi="仿宋_GB2312" w:cs="仿宋_GB2312" w:eastAsia="仿宋_GB2312"/>
                <w:sz w:val="21"/>
              </w:rPr>
              <w:t>，</w:t>
            </w:r>
            <w:r>
              <w:rPr>
                <w:rFonts w:ascii="仿宋_GB2312" w:hAnsi="仿宋_GB2312" w:cs="仿宋_GB2312" w:eastAsia="仿宋_GB2312"/>
                <w:sz w:val="21"/>
              </w:rPr>
              <w:t>配备充电器</w:t>
            </w:r>
            <w:r>
              <w:rPr>
                <w:rFonts w:ascii="仿宋_GB2312" w:hAnsi="仿宋_GB2312" w:cs="仿宋_GB2312" w:eastAsia="仿宋_GB2312"/>
                <w:sz w:val="21"/>
              </w:rPr>
              <w:t>1台；综合续航时间(持续工作)≥7h</w:t>
            </w:r>
            <w:r>
              <w:rPr>
                <w:rFonts w:ascii="仿宋_GB2312" w:hAnsi="仿宋_GB2312" w:cs="仿宋_GB2312" w:eastAsia="仿宋_GB2312"/>
                <w:sz w:val="21"/>
              </w:rPr>
              <w:t>，</w:t>
            </w:r>
            <w:r>
              <w:rPr>
                <w:rFonts w:ascii="仿宋_GB2312" w:hAnsi="仿宋_GB2312" w:cs="仿宋_GB2312" w:eastAsia="仿宋_GB2312"/>
                <w:sz w:val="21"/>
              </w:rPr>
              <w:t>待机时间</w:t>
            </w:r>
            <w:r>
              <w:rPr>
                <w:rFonts w:ascii="仿宋_GB2312" w:hAnsi="仿宋_GB2312" w:cs="仿宋_GB2312" w:eastAsia="仿宋_GB2312"/>
                <w:sz w:val="21"/>
              </w:rPr>
              <w:t>≥20h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18）机器人无负载情况下，步行速度最高 ≥3.5km/h。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19）算力：运控模块采用处理器核 心数≥4 核，线程数≥8 线程，主频≥2.0GHz ，缓存≥8MB；机载算力≥100TOPS</w:t>
            </w:r>
            <w:r>
              <w:rPr>
                <w:rFonts w:ascii="仿宋_GB2312" w:hAnsi="仿宋_GB2312" w:cs="仿宋_GB2312" w:eastAsia="仿宋_GB2312"/>
                <w:sz w:val="21"/>
              </w:rPr>
              <w:t>，</w:t>
            </w:r>
            <w:r>
              <w:rPr>
                <w:rFonts w:ascii="仿宋_GB2312" w:hAnsi="仿宋_GB2312" w:cs="仿宋_GB2312" w:eastAsia="仿宋_GB2312"/>
                <w:sz w:val="21"/>
              </w:rPr>
              <w:t>ethernet接口≥2个，可任意拓展算力；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20）机器人及配件清</w:t>
            </w:r>
            <w:r>
              <w:rPr>
                <w:rFonts w:ascii="仿宋_GB2312" w:hAnsi="仿宋_GB2312" w:cs="仿宋_GB2312" w:eastAsia="仿宋_GB2312"/>
                <w:sz w:val="21"/>
              </w:rPr>
              <w:t>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）智能感知协控系统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CPU数量≥2，单个核心≥32C，主频≥2.1Ghz，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内存数量</w:t>
            </w:r>
            <w:r>
              <w:rPr>
                <w:rFonts w:ascii="仿宋_GB2312" w:hAnsi="仿宋_GB2312" w:cs="仿宋_GB2312" w:eastAsia="仿宋_GB2312"/>
                <w:sz w:val="21"/>
              </w:rPr>
              <w:t>≥4根 DDR5内存，单根≥32G ，最大支持≥16个内存插槽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）内存插槽系统盘</w:t>
            </w:r>
            <w:r>
              <w:rPr>
                <w:rFonts w:ascii="仿宋_GB2312" w:hAnsi="仿宋_GB2312" w:cs="仿宋_GB2312" w:eastAsia="仿宋_GB2312"/>
                <w:sz w:val="21"/>
              </w:rPr>
              <w:t xml:space="preserve">≥960G企业级固态，数据缓存盘数据盘≥8T企业级数据盘，硬盘支持≥8x3.5”/2.5”SATA/SAS，支持千兆网络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）计算显卡数量</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个，单个显存</w:t>
            </w:r>
            <w:r>
              <w:rPr>
                <w:rFonts w:ascii="仿宋_GB2312" w:hAnsi="仿宋_GB2312" w:cs="仿宋_GB2312" w:eastAsia="仿宋_GB2312"/>
                <w:sz w:val="21"/>
              </w:rPr>
              <w:t>≥32G，单显卡算力性能≥3352AITOPS</w:t>
            </w:r>
            <w:r>
              <w:rPr>
                <w:rFonts w:ascii="仿宋_GB2312" w:hAnsi="仿宋_GB2312" w:cs="仿宋_GB2312" w:eastAsia="仿宋_GB2312"/>
                <w:sz w:val="21"/>
              </w:rPr>
              <w:t>或计算卡</w:t>
            </w:r>
            <w:r>
              <w:rPr>
                <w:rFonts w:ascii="仿宋_GB2312" w:hAnsi="仿宋_GB2312" w:cs="仿宋_GB2312" w:eastAsia="仿宋_GB2312"/>
                <w:sz w:val="21"/>
              </w:rPr>
              <w:t>pcie,接口≥5.0*16，</w:t>
            </w:r>
            <w:r>
              <w:rPr>
                <w:rFonts w:ascii="仿宋_GB2312" w:hAnsi="仿宋_GB2312" w:cs="仿宋_GB2312" w:eastAsia="仿宋_GB2312"/>
                <w:sz w:val="21"/>
              </w:rPr>
              <w:t>电源功率</w:t>
            </w:r>
            <w:r>
              <w:rPr>
                <w:rFonts w:ascii="仿宋_GB2312" w:hAnsi="仿宋_GB2312" w:cs="仿宋_GB2312" w:eastAsia="仿宋_GB2312"/>
                <w:sz w:val="21"/>
              </w:rPr>
              <w:t>≥4000W;</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）系统配置镜像恢复盘，一键安装无需二次搭配环境</w:t>
            </w:r>
          </w:p>
          <w:p>
            <w:pPr>
              <w:pStyle w:val="null3"/>
            </w:pP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需包含：</w:t>
            </w:r>
          </w:p>
          <w:p>
            <w:pPr>
              <w:pStyle w:val="null3"/>
              <w:jc w:val="both"/>
            </w:pPr>
            <w:r>
              <w:rPr>
                <w:rFonts w:ascii="仿宋_GB2312" w:hAnsi="仿宋_GB2312" w:cs="仿宋_GB2312" w:eastAsia="仿宋_GB2312"/>
                <w:sz w:val="21"/>
              </w:rPr>
              <w:t>机器人本体</w:t>
            </w:r>
            <w:r>
              <w:rPr>
                <w:rFonts w:ascii="仿宋_GB2312" w:hAnsi="仿宋_GB2312" w:cs="仿宋_GB2312" w:eastAsia="仿宋_GB2312"/>
                <w:sz w:val="21"/>
              </w:rPr>
              <w:t>≥1套</w:t>
            </w:r>
            <w:r>
              <w:rPr>
                <w:rFonts w:ascii="仿宋_GB2312" w:hAnsi="仿宋_GB2312" w:cs="仿宋_GB2312" w:eastAsia="仿宋_GB2312"/>
                <w:sz w:val="21"/>
              </w:rPr>
              <w:t>；</w:t>
            </w:r>
            <w:r>
              <w:rPr>
                <w:rFonts w:ascii="仿宋_GB2312" w:hAnsi="仿宋_GB2312" w:cs="仿宋_GB2312" w:eastAsia="仿宋_GB2312"/>
                <w:sz w:val="21"/>
              </w:rPr>
              <w:t>末端装置（灵巧手</w:t>
            </w:r>
            <w:r>
              <w:rPr>
                <w:rFonts w:ascii="仿宋_GB2312" w:hAnsi="仿宋_GB2312" w:cs="仿宋_GB2312" w:eastAsia="仿宋_GB2312"/>
                <w:sz w:val="21"/>
              </w:rPr>
              <w:t>or夹板手or二指夹爪，三选一）≥1个</w:t>
            </w:r>
            <w:r>
              <w:rPr>
                <w:rFonts w:ascii="仿宋_GB2312" w:hAnsi="仿宋_GB2312" w:cs="仿宋_GB2312" w:eastAsia="仿宋_GB2312"/>
                <w:sz w:val="21"/>
              </w:rPr>
              <w:t>；</w:t>
            </w:r>
            <w:r>
              <w:rPr>
                <w:rFonts w:ascii="仿宋_GB2312" w:hAnsi="仿宋_GB2312" w:cs="仿宋_GB2312" w:eastAsia="仿宋_GB2312"/>
                <w:sz w:val="21"/>
              </w:rPr>
              <w:t>机器人展架</w:t>
            </w:r>
            <w:r>
              <w:rPr>
                <w:rFonts w:ascii="仿宋_GB2312" w:hAnsi="仿宋_GB2312" w:cs="仿宋_GB2312" w:eastAsia="仿宋_GB2312"/>
                <w:sz w:val="21"/>
              </w:rPr>
              <w:t>≥1套、吊装尼龙绳和钩子≥1 套、遥控器≥1 个、调式线≥1套、机器人电源适配器≥1个、合格证及保修卡≥1 套；机器人存放箱体≥1个；散热系统风冷散热；</w:t>
            </w:r>
          </w:p>
          <w:p>
            <w:pPr>
              <w:pStyle w:val="null3"/>
            </w:pPr>
            <w:r>
              <w:rPr>
                <w:rFonts w:ascii="仿宋_GB2312" w:hAnsi="仿宋_GB2312" w:cs="仿宋_GB2312" w:eastAsia="仿宋_GB2312"/>
                <w:sz w:val="21"/>
              </w:rPr>
              <w:t>支持二次开发能力</w:t>
            </w:r>
            <w:r>
              <w:rPr>
                <w:rFonts w:ascii="仿宋_GB2312" w:hAnsi="仿宋_GB2312" w:cs="仿宋_GB2312" w:eastAsia="仿宋_GB2312"/>
                <w:sz w:val="21"/>
              </w:rPr>
              <w:t>，</w:t>
            </w:r>
            <w:r>
              <w:rPr>
                <w:rFonts w:ascii="仿宋_GB2312" w:hAnsi="仿宋_GB2312" w:cs="仿宋_GB2312" w:eastAsia="仿宋_GB2312"/>
                <w:sz w:val="21"/>
              </w:rPr>
              <w:t>配套手持终端</w:t>
            </w:r>
            <w:r>
              <w:rPr>
                <w:rFonts w:ascii="仿宋_GB2312" w:hAnsi="仿宋_GB2312" w:cs="仿宋_GB2312" w:eastAsia="仿宋_GB2312"/>
                <w:sz w:val="21"/>
              </w:rPr>
              <w:t>1台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西安建筑科技大学草堂校区机电楼302</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 2.（1）到货开箱初验： ①外包装完整性：无破损、浸水、拆封、钉孔撬动痕迹； ②品牌、型号、规格、产地、数量完全匹配采购清单与合同 ③逐箱对照装箱单清点主机、附件、备件、工具、耗材，账物相符； ④查验基础资料 ⑤外观检查：机身无划痕、掉漆、变形、接口损坏、二手翻新痕迹，必须为全新未拆封正品。 合格：双方签署《到货验收单》，进入安装调试环节； 不合格：当场拒收，乙方限期重新备货送：货，延误工期按合同计违约金 安装调试+最终履约验收：按合同约定期限完成设备就位、接线组装、软硬件部署、系统联调、现场操作培训，可稳定连续试运行24小时，无故障停机、参数漂移、功能缺失。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运输、装卸、卸货、上楼搬运全部费用含在合同总价内，由乙方全权负责；校方仅提供指定交货地点，不承担转运、吊装、破损风险责任</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1、纸质文件递交：中标（成交）结果发布后，中标供应商在2个工作日内向采购代理机构提供一正一副（和上传文件保持一致的）纸质投标（响应）文件用于备案及档案保存。 2、投标保证金以电子保函形式递交需在开标前给shanxizhuoming_zb@163.com发一份扫描件。3、供应商投标保证金缴纳完成后请致电代理机构财务部门确认投标保证金到账情况，电话：029-81875979。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交货时间是否满足采购文件最低要求</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支付约定满足采购文件要求（合格）支付约定不满足采购文件要求（不合格）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响应文件的签署、盖章符合采购文件要求（合格） 响应文件的签署、盖章不符合采购文件要求（不合格）</w:t>
            </w:r>
          </w:p>
        </w:tc>
        <w:tc>
          <w:tcPr>
            <w:tcW w:type="dxa" w:w="1661"/>
          </w:tcPr>
          <w:p>
            <w:pPr>
              <w:pStyle w:val="null3"/>
            </w:pPr>
            <w:r>
              <w:rPr>
                <w:rFonts w:ascii="仿宋_GB2312" w:hAnsi="仿宋_GB2312" w:cs="仿宋_GB2312" w:eastAsia="仿宋_GB2312"/>
              </w:rPr>
              <w:t>响应文件封面 供应商资格要求.docx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