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版本号：华采FW【2026】03号20260513001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飞利浦DSA维保</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华采FW【2026】03号</w:t>
      </w:r>
      <w:r>
        <w:br/>
      </w:r>
      <w:r>
        <w:br/>
      </w:r>
      <w:r>
        <w:br/>
      </w:r>
    </w:p>
    <w:p>
      <w:pPr>
        <w:pStyle w:val="null3"/>
        <w:jc w:val="center"/>
        <w:outlineLvl w:val="2"/>
      </w:pPr>
      <w:r>
        <w:rPr>
          <w:rFonts w:ascii="仿宋_GB2312" w:hAnsi="仿宋_GB2312" w:cs="仿宋_GB2312" w:eastAsia="仿宋_GB2312"/>
          <w:sz w:val="28"/>
          <w:b/>
        </w:rPr>
        <w:t>汉中市中心医院</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汉中市中心医院</w:t>
      </w:r>
      <w:r>
        <w:rPr>
          <w:rFonts w:ascii="仿宋_GB2312" w:hAnsi="仿宋_GB2312" w:cs="仿宋_GB2312" w:eastAsia="仿宋_GB2312"/>
        </w:rPr>
        <w:t>委托，拟对</w:t>
      </w:r>
      <w:r>
        <w:rPr>
          <w:rFonts w:ascii="仿宋_GB2312" w:hAnsi="仿宋_GB2312" w:cs="仿宋_GB2312" w:eastAsia="仿宋_GB2312"/>
        </w:rPr>
        <w:t>飞利浦DSA维保</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华采FW【2026】03号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飞利浦DSA维保</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维保类型：飞利浦DSA设备全保服务，设备型号：Allura Xper FD20，服务期限：二年。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采购包1（飞利浦DSA维保）：属于专门面向中小企业采购。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2、供应商资格承诺函：提供“汉中市政府采购供应商资格承诺函”;</w:t>
      </w:r>
    </w:p>
    <w:p>
      <w:pPr>
        <w:pStyle w:val="null3"/>
      </w:pPr>
      <w:r>
        <w:rPr>
          <w:rFonts w:ascii="仿宋_GB2312" w:hAnsi="仿宋_GB2312" w:cs="仿宋_GB2312" w:eastAsia="仿宋_GB2312"/>
        </w:rPr>
        <w:t>3、法定代表人授权委托书：投标供应商应授权合法的人员参加投标全过程，其中法定代表人直接参加投标的，须出具法人身份证，并与营业执照上信息一致。法定代表人授权代表参加投标的，须出具法定代表人授权书及授权代表身份证</w:t>
      </w:r>
    </w:p>
    <w:p>
      <w:pPr>
        <w:pStyle w:val="null3"/>
      </w:pPr>
      <w:r>
        <w:rPr>
          <w:rFonts w:ascii="仿宋_GB2312" w:hAnsi="仿宋_GB2312" w:cs="仿宋_GB2312" w:eastAsia="仿宋_GB2312"/>
        </w:rPr>
        <w:t>4、企业资格：投标供应商应具有医疗器械经营许可证或经营备案凭证。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汉中市汉台区康复路22号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陈正许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0916-2682065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陕西省汉中市汉台区荔枝路智诚雅居二层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曾世刚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0916-2533877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开户名称：华睿诚项目管理有限公司汉中分公司</w:t>
            </w:r>
          </w:p>
          <w:p>
            <w:pPr>
              <w:pStyle w:val="null3"/>
            </w:pPr>
            <w:r>
              <w:rPr>
                <w:rFonts w:ascii="仿宋_GB2312" w:hAnsi="仿宋_GB2312" w:cs="仿宋_GB2312" w:eastAsia="仿宋_GB2312"/>
              </w:rPr>
              <w:t>开户银行：长安银行汉中兴元路支行</w:t>
            </w:r>
          </w:p>
          <w:p>
            <w:pPr>
              <w:pStyle w:val="null3"/>
            </w:pPr>
            <w:r>
              <w:rPr>
                <w:rFonts w:ascii="仿宋_GB2312" w:hAnsi="仿宋_GB2312" w:cs="仿宋_GB2312" w:eastAsia="仿宋_GB2312"/>
              </w:rPr>
              <w:t>银行账号：806060601421002099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的通知（计价格〔2002〕1980号）、《国家发展和改革委员会办公厅关于招标代理服务收费有关问题的通知》（发改办价格〔2003〕857号），在参考价的基础上（ 下浮20% ）</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汉中市中心医院</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汉中市中心医院</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保持原厂QC标准或国家质量计监部门之标准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联系人：曾世刚</w:t>
      </w:r>
    </w:p>
    <w:p>
      <w:pPr>
        <w:pStyle w:val="null3"/>
      </w:pPr>
      <w:r>
        <w:rPr>
          <w:rFonts w:ascii="仿宋_GB2312" w:hAnsi="仿宋_GB2312" w:cs="仿宋_GB2312" w:eastAsia="仿宋_GB2312"/>
        </w:rPr>
        <w:t>联系电话：0916-2533877</w:t>
      </w:r>
    </w:p>
    <w:p>
      <w:pPr>
        <w:pStyle w:val="null3"/>
      </w:pPr>
      <w:r>
        <w:rPr>
          <w:rFonts w:ascii="仿宋_GB2312" w:hAnsi="仿宋_GB2312" w:cs="仿宋_GB2312" w:eastAsia="仿宋_GB2312"/>
        </w:rPr>
        <w:t>地址：陕西省汉中市汉台区荔枝路智诚雅居二层</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维保期内提供飞利浦DSA设备所有软硬件（含球管、探测器）维护保养服务，包括但不限于设备的安全检查，影像质量检查，运行状态检查，电器安全检查等，并提供当年的系统运行状态报告等。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1,480,000.00</w:t>
      </w:r>
    </w:p>
    <w:p>
      <w:pPr>
        <w:pStyle w:val="null3"/>
      </w:pPr>
      <w:r>
        <w:rPr>
          <w:rFonts w:ascii="仿宋_GB2312" w:hAnsi="仿宋_GB2312" w:cs="仿宋_GB2312" w:eastAsia="仿宋_GB2312"/>
        </w:rPr>
        <w:t>采购包最高限价（元）: 1,480,000.00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飞利浦DSA维保</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标的名称：飞利浦DSA维保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维保设备信息：飞利浦DSA设备(型号：Allura Xper FD20)，维保服务内容：二年期全保服务型，维保期内提供飞利浦DSA设备所有软硬件（含球管、探测器）维护保养服务，包括但不限于设备的安全检查，影像质量检查，运行状态检查，电器安全检查等，并提供当年的系统运行状态报告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color w:val="333333"/>
              </w:rPr>
              <w:t>开机率保证：每年</w:t>
            </w:r>
            <w:r>
              <w:rPr>
                <w:rFonts w:ascii="仿宋_GB2312" w:hAnsi="仿宋_GB2312" w:cs="仿宋_GB2312" w:eastAsia="仿宋_GB2312"/>
                <w:sz w:val="24"/>
                <w:color w:val="333333"/>
              </w:rPr>
              <w:t>≥95%；即每年停机不超过18天。开机率延误一天，赔付两天，保修合同结束后时间顺延。</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color w:val="333333"/>
              </w:rPr>
              <w:t>每年两次（每六个月一次）设备全面维护保养，使之保持原厂QC标准或国家质量计监部门之标准，提前3个工作日正式和医院确认保养时间，并有原厂技术组长或技术支持专家审核合格的 PM report。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color w:val="000000"/>
              </w:rPr>
              <w:t>维护、维修时间：周一至周日全天候24小时提供服务。</w:t>
            </w:r>
            <w:r>
              <w:rPr>
                <w:rFonts w:ascii="仿宋_GB2312" w:hAnsi="仿宋_GB2312" w:cs="仿宋_GB2312" w:eastAsia="仿宋_GB2312"/>
                <w:sz w:val="24"/>
                <w:color w:val="333333"/>
              </w:rPr>
              <w:t>提供400或800专线客服服务电话：365天*24小时开通。</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color w:val="000000"/>
              </w:rPr>
              <w:t>接到报修后2小时之内电话响应；全天24小时在线技术支持，工程师到达现场时间≤48小时（不可抗力除外），不限次数人工叫修服务</w:t>
            </w:r>
            <w:r>
              <w:rPr>
                <w:rFonts w:ascii="仿宋_GB2312" w:hAnsi="仿宋_GB2312" w:cs="仿宋_GB2312" w:eastAsia="仿宋_GB2312"/>
                <w:sz w:val="24"/>
                <w:color w:val="333333"/>
              </w:rPr>
              <w:t>。</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333333"/>
              </w:rPr>
              <w:t>投标人所代表的服务机构须具有经合法校正的专业维修工具、仪器，并能提供序列号核实和近两年依法校正的记录文件</w:t>
            </w:r>
            <w:r>
              <w:rPr>
                <w:rFonts w:ascii="仿宋_GB2312" w:hAnsi="仿宋_GB2312" w:cs="仿宋_GB2312" w:eastAsia="仿宋_GB2312"/>
                <w:sz w:val="24"/>
                <w:color w:val="000000"/>
              </w:rPr>
              <w:t>。</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color w:val="000000"/>
              </w:rPr>
              <w:t>投标人所代表服务机构必须能提供全部服务类型：定期保养、PRS远程诊断服务（电话支持、宽带远程支持、宽带自动预警保障系统）、现场服务，提供自动预警、主动预防保障和维修方案。</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4"/>
                <w:color w:val="333333"/>
              </w:rPr>
              <w:t>持续监控设备是否需要升级，并能提供设备安全升级，提供原厂改进措施(FCO)并能提供证据支持。</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4"/>
                <w:color w:val="000000"/>
              </w:rPr>
              <w:t>维投标人能够随时按需合法取得设备生产者研发和工厂的技术、物力支持，并具有在设备现有基础上进行新功能新应用升级拓展的能力。</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sz w:val="24"/>
                <w:b/>
                <w:color w:val="333333"/>
              </w:rPr>
              <w:t>所有零部件必须与设备原型号一致，经过原厂认证的全新配件，技术参数符合设备原厂的技术参数要求，安装完毕后达到设备运行标准（进口备件需提供备件报关证明及备件原厂证明文件）</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333333"/>
              </w:rPr>
              <w:t>投标人必需在国内设有专业、充足的设备零备件仓库，需提供零备件仓库说明。</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333333"/>
              </w:rPr>
              <w:t>保修服务期内免费更换备件包含设备自身球管、探测器、高压发生器等高值配件。更换的高值配件必须是符合原厂对备设使用安全要求的全新配件，并提供配件来源渠道合法的证明材料及其注册证明文件。在高值配件更换时，投标人能提供相应合格证书及技术手册并附证明材料,包含高压注射器维修</w:t>
            </w:r>
            <w:r>
              <w:rPr>
                <w:rFonts w:ascii="仿宋_GB2312" w:hAnsi="仿宋_GB2312" w:cs="仿宋_GB2312" w:eastAsia="仿宋_GB2312"/>
                <w:sz w:val="24"/>
                <w:color w:val="000000"/>
              </w:rPr>
              <w:t>。</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投标人须能合法获得、完整使用有效的原厂高级故障诊断软件诊断维修钥匙(Service Key)，以解决相应故障。</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投标人有专职的应用培训专家，能以现场和远程形式，提供临床扫描、图像处理和相应业务拓展的专业支持。</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333333"/>
              </w:rPr>
              <w:t>投标人有专门的工程师培训基地，专用的维修培训设备保障工程师的培训水平。</w:t>
            </w:r>
          </w:p>
        </w:tc>
      </w:tr>
      <w:tr>
        <w:tc>
          <w:tcPr>
            <w:tcW w:type="dxa" w:w="2769"/>
          </w:tcPr>
          <w:p>
            <w:pPr>
              <w:pStyle w:val="null3"/>
            </w:pPr>
            <w:r>
              <w:rPr>
                <w:rFonts w:ascii="仿宋_GB2312" w:hAnsi="仿宋_GB2312" w:cs="仿宋_GB2312" w:eastAsia="仿宋_GB2312"/>
              </w:rPr>
              <w:t>16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000000"/>
              </w:rPr>
              <w:t>投标人具有不少于4名稳定的常驻服务人员，人员具有投标服务设备型号的生产厂家的考核合格的、且在有效期的原厂服务资质，需提供相关人员资质复印件并加盖公章。</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color w:val="333333"/>
              </w:rPr>
              <w:t>投标人须为设备生产厂家或生产厂家授权的售后服务机构（须出具厂家授权委托书及售后服务承诺书）</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sz w:val="24"/>
              </w:rPr>
              <w:t>需承保高压注射器、拖屏、显示器等附件，提供承诺书。</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1、设备保修服务期内免费进行故障配件更换，设备维修过程产生的人工费、差旅费用、配件运输费用由投标人承担; 2、如遇到不可抗力，如设备报废换新，维保费用按使用实际时间结算。</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二年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按年度验收考核</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服务期满一年</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服务期结束</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向采购人所在地人民法院提起诉讼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资格证明材料内容及格式.docx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资格证明材料内容及格式.docx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资格证明材料内容及格式.docx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资格证明材料内容及格式.docx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投标供应商应授权合法的人员参加投标全过程，其中法定代表人直接参加投标的，须出具法人身份证，并与营业执照上信息一致。法定代表人授权代表参加投标的，须出具法定代表人授权书及授权代表身份证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资格证明材料内容及格式.docx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企业资格</w:t>
            </w:r>
          </w:p>
        </w:tc>
        <w:tc>
          <w:tcPr>
            <w:tcW w:type="dxa" w:w="3322"/>
          </w:tcPr>
          <w:p>
            <w:pPr>
              <w:pStyle w:val="null3"/>
            </w:pPr>
            <w:r>
              <w:rPr>
                <w:rFonts w:ascii="仿宋_GB2312" w:hAnsi="仿宋_GB2312" w:cs="仿宋_GB2312" w:eastAsia="仿宋_GB2312"/>
              </w:rPr>
              <w:t>投标供应商应具有医疗器械经营许可证或经营备案凭证。</w:t>
            </w:r>
          </w:p>
        </w:tc>
        <w:tc>
          <w:tcPr>
            <w:tcW w:type="dxa" w:w="1661"/>
          </w:tcPr>
          <w:p>
            <w:pPr>
              <w:pStyle w:val="null3"/>
            </w:pPr>
            <w:r>
              <w:rPr>
                <w:rFonts w:ascii="仿宋_GB2312" w:hAnsi="仿宋_GB2312" w:cs="仿宋_GB2312" w:eastAsia="仿宋_GB2312"/>
              </w:rPr>
              <w:t>资格证明材料内容及格式.docx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投标无效条件：投标文件未按招标文件要求签署、盖章的</w:t>
            </w:r>
          </w:p>
        </w:tc>
        <w:tc>
          <w:tcPr>
            <w:tcW w:type="dxa" w:w="1661"/>
          </w:tcPr>
          <w:p>
            <w:pPr>
              <w:pStyle w:val="null3"/>
            </w:pPr>
            <w:r>
              <w:rPr>
                <w:rFonts w:ascii="仿宋_GB2312" w:hAnsi="仿宋_GB2312" w:cs="仿宋_GB2312" w:eastAsia="仿宋_GB2312"/>
              </w:rPr>
              <w:t>响应文件封面 中小企业声明函 残疾人福利性单位声明函 商务应答表 标的清单 报价表 响应函 监狱企业的证明文件 资格证明材料内容及格式.docx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投标无效条件：投标人投标报价超出采购预算或最高限价的</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投标无效条件：投标有效期不满足招标文件要求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技术参数与性能指标评审</w:t>
            </w:r>
          </w:p>
        </w:tc>
        <w:tc>
          <w:tcPr>
            <w:tcW w:type="dxa" w:w="2492"/>
          </w:tcPr>
          <w:p>
            <w:pPr>
              <w:pStyle w:val="null3"/>
            </w:pPr>
            <w:r>
              <w:rPr>
                <w:rFonts w:ascii="仿宋_GB2312" w:hAnsi="仿宋_GB2312" w:cs="仿宋_GB2312" w:eastAsia="仿宋_GB2312"/>
              </w:rPr>
              <w:t>技术参数与性能指标：完全响应或优于采购要求得40分，带有“▲”一项不满足扣3分，没有“▲”一项不满足扣1.5分，带有“▲”项需提供相关证明材料.</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详细评审-1、技术参数与性能指标应答表.docx</w:t>
            </w:r>
          </w:p>
        </w:tc>
      </w:tr>
      <w:tr>
        <w:tc>
          <w:tcPr>
            <w:tcW w:type="dxa" w:w="831"/>
            <w:vMerge/>
          </w:tcPr>
          <w:p/>
        </w:tc>
        <w:tc>
          <w:tcPr>
            <w:tcW w:type="dxa" w:w="1661"/>
          </w:tcPr>
          <w:p>
            <w:pPr>
              <w:pStyle w:val="null3"/>
            </w:pPr>
            <w:r>
              <w:rPr>
                <w:rFonts w:ascii="仿宋_GB2312" w:hAnsi="仿宋_GB2312" w:cs="仿宋_GB2312" w:eastAsia="仿宋_GB2312"/>
              </w:rPr>
              <w:t>保养、维护 计划方案</w:t>
            </w:r>
          </w:p>
        </w:tc>
        <w:tc>
          <w:tcPr>
            <w:tcW w:type="dxa" w:w="2492"/>
          </w:tcPr>
          <w:p>
            <w:pPr>
              <w:pStyle w:val="null3"/>
            </w:pPr>
            <w:r>
              <w:rPr>
                <w:rFonts w:ascii="仿宋_GB2312" w:hAnsi="仿宋_GB2312" w:cs="仿宋_GB2312" w:eastAsia="仿宋_GB2312"/>
              </w:rPr>
              <w:t>供应商对本项目提供的保养、维护计划方案： ①内容完整、可实施、且有针对性得15分； ②内容完整、可实施得12分； ③方案基本完整得9分； ④未提供不得分。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详细评审-2、保养、维护计划方案.docx</w:t>
            </w:r>
          </w:p>
        </w:tc>
      </w:tr>
      <w:tr>
        <w:tc>
          <w:tcPr>
            <w:tcW w:type="dxa" w:w="831"/>
            <w:vMerge/>
          </w:tcPr>
          <w:p/>
        </w:tc>
        <w:tc>
          <w:tcPr>
            <w:tcW w:type="dxa" w:w="1661"/>
          </w:tcPr>
          <w:p>
            <w:pPr>
              <w:pStyle w:val="null3"/>
            </w:pPr>
            <w:r>
              <w:rPr>
                <w:rFonts w:ascii="仿宋_GB2312" w:hAnsi="仿宋_GB2312" w:cs="仿宋_GB2312" w:eastAsia="仿宋_GB2312"/>
              </w:rPr>
              <w:t>故障紧急应急预案</w:t>
            </w:r>
          </w:p>
        </w:tc>
        <w:tc>
          <w:tcPr>
            <w:tcW w:type="dxa" w:w="2492"/>
          </w:tcPr>
          <w:p>
            <w:pPr>
              <w:pStyle w:val="null3"/>
            </w:pPr>
            <w:r>
              <w:rPr>
                <w:rFonts w:ascii="仿宋_GB2312" w:hAnsi="仿宋_GB2312" w:cs="仿宋_GB2312" w:eastAsia="仿宋_GB2312"/>
              </w:rPr>
              <w:t>供应商对设备可能出现的突发事件问题及重大故障，有具体可行的应急预案措施和解决方案： ①内容完整、可实施、且有针对性得5分； ②内容完整、可实施得3分； ③方案基本完整得1分； ④未提供不得分。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详细评审-3、故障紧急应急预案.docx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供应商对本项目维保服务提供切实可行的服务质量保证方案措施： ①内容完整、可实施、且有针对性得5分； ②内容完整、可实施得3分； ③方案基本完整得1分； ④未提供不得分。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详细评审-4、服务质量保证措施.docx</w:t>
            </w:r>
          </w:p>
        </w:tc>
      </w:tr>
      <w:tr>
        <w:tc>
          <w:tcPr>
            <w:tcW w:type="dxa" w:w="831"/>
            <w:vMerge/>
          </w:tcPr>
          <w:p/>
        </w:tc>
        <w:tc>
          <w:tcPr>
            <w:tcW w:type="dxa" w:w="1661"/>
          </w:tcPr>
          <w:p>
            <w:pPr>
              <w:pStyle w:val="null3"/>
            </w:pPr>
            <w:r>
              <w:rPr>
                <w:rFonts w:ascii="仿宋_GB2312" w:hAnsi="仿宋_GB2312" w:cs="仿宋_GB2312" w:eastAsia="仿宋_GB2312"/>
              </w:rPr>
              <w:t>零配件兼容可靠性</w:t>
            </w:r>
          </w:p>
        </w:tc>
        <w:tc>
          <w:tcPr>
            <w:tcW w:type="dxa" w:w="2492"/>
          </w:tcPr>
          <w:p>
            <w:pPr>
              <w:pStyle w:val="null3"/>
            </w:pPr>
            <w:r>
              <w:rPr>
                <w:rFonts w:ascii="仿宋_GB2312" w:hAnsi="仿宋_GB2312" w:cs="仿宋_GB2312" w:eastAsia="仿宋_GB2312"/>
              </w:rPr>
              <w:t>供应商维保服务过程中提供的所有的部件及备品备件均应符合行业标准且能够与原设备配套兼容，具备合法、稳定的备件来源渠道以确保设备维修的及时性和可靠性： ①部件及备品备件全面，供应充足，且证明材料完整、性详细得5分； ②部件及备品备件完善，具有证明材料得3分； ③部件及备品备件基本满足维保要求，得1分； ④未提供不得分。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详细评审-5、零配件兼容可靠性.docx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供应商有针对本项目的专业服务团队： ①人员配备完善、团队组织结构合理、经验丰富得5分； ②人员配备合理，有一定经验得3分； ③人员配备基本满足项目需求得1分； ④未提供不得分。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详细评审-6、人员配备方案.docx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供应商根据出现故障响应时间、人员到场时间、故障恢复时效及后续服务，开机率保证等内容： ①内容完整、可实施、且有针对性得5分； ②内容完整、可实施得3分； ③方案基本完整得1分； ④未提供不得分。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详细评审-7、服务承诺.docx</w:t>
            </w:r>
          </w:p>
        </w:tc>
      </w:tr>
      <w:tr>
        <w:tc>
          <w:tcPr>
            <w:tcW w:type="dxa" w:w="831"/>
            <w:vMerge/>
          </w:tcPr>
          <w:p/>
        </w:tc>
        <w:tc>
          <w:tcPr>
            <w:tcW w:type="dxa" w:w="1661"/>
          </w:tcPr>
          <w:p>
            <w:pPr>
              <w:pStyle w:val="null3"/>
            </w:pPr>
            <w:r>
              <w:rPr>
                <w:rFonts w:ascii="仿宋_GB2312" w:hAnsi="仿宋_GB2312" w:cs="仿宋_GB2312" w:eastAsia="仿宋_GB2312"/>
              </w:rPr>
              <w:t>服务时效响应</w:t>
            </w:r>
          </w:p>
        </w:tc>
        <w:tc>
          <w:tcPr>
            <w:tcW w:type="dxa" w:w="2492"/>
          </w:tcPr>
          <w:p>
            <w:pPr>
              <w:pStyle w:val="null3"/>
            </w:pPr>
            <w:r>
              <w:rPr>
                <w:rFonts w:ascii="仿宋_GB2312" w:hAnsi="仿宋_GB2312" w:cs="仿宋_GB2312" w:eastAsia="仿宋_GB2312"/>
              </w:rPr>
              <w:t>供应商为保证出现故障后能按时响应提供相关佐证材料，在采购人所在省份或任意相邻省份设有办事处并提供相关证明材料得5分，在上述区域无办事处提供满足时效响应承诺得3分，未提供不得分。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详细评审-8、服务时效响应.docx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供应商2023年1月1日至投标截止之日（以合同签订时间为准）承担过本次维保产品的维保业绩，每提供一份得2.5分，最高得5分。提供合同复印件，未提供不得分。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详细评审-9、类似业绩.docx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 投标报价得分=（评标基准价/投标报价）×价格分值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详见附件：资格证明材料内容及格式.docx</w:t>
      </w:r>
    </w:p>
    <w:p>
      <w:pPr>
        <w:pStyle w:val="null3"/>
        <w:ind w:firstLine="960"/>
      </w:pPr>
      <w:r>
        <w:rPr>
          <w:rFonts w:ascii="仿宋_GB2312" w:hAnsi="仿宋_GB2312" w:cs="仿宋_GB2312" w:eastAsia="仿宋_GB2312"/>
        </w:rPr>
        <w:t>详见附件：详细评审-2、保养、维护计划方案.docx</w:t>
      </w:r>
    </w:p>
    <w:p>
      <w:pPr>
        <w:pStyle w:val="null3"/>
        <w:ind w:firstLine="960"/>
      </w:pPr>
      <w:r>
        <w:rPr>
          <w:rFonts w:ascii="仿宋_GB2312" w:hAnsi="仿宋_GB2312" w:cs="仿宋_GB2312" w:eastAsia="仿宋_GB2312"/>
        </w:rPr>
        <w:t>详见附件：详细评审-1、技术参数与性能指标应答表.docx</w:t>
      </w:r>
    </w:p>
    <w:p>
      <w:pPr>
        <w:pStyle w:val="null3"/>
        <w:ind w:firstLine="960"/>
      </w:pPr>
      <w:r>
        <w:rPr>
          <w:rFonts w:ascii="仿宋_GB2312" w:hAnsi="仿宋_GB2312" w:cs="仿宋_GB2312" w:eastAsia="仿宋_GB2312"/>
        </w:rPr>
        <w:t>详见附件：详细评审-3、故障紧急应急预案.docx</w:t>
      </w:r>
    </w:p>
    <w:p>
      <w:pPr>
        <w:pStyle w:val="null3"/>
        <w:ind w:firstLine="960"/>
      </w:pPr>
      <w:r>
        <w:rPr>
          <w:rFonts w:ascii="仿宋_GB2312" w:hAnsi="仿宋_GB2312" w:cs="仿宋_GB2312" w:eastAsia="仿宋_GB2312"/>
        </w:rPr>
        <w:t>详见附件：详细评审-4、服务质量保证措施.docx</w:t>
      </w:r>
    </w:p>
    <w:p>
      <w:pPr>
        <w:pStyle w:val="null3"/>
        <w:ind w:firstLine="960"/>
      </w:pPr>
      <w:r>
        <w:rPr>
          <w:rFonts w:ascii="仿宋_GB2312" w:hAnsi="仿宋_GB2312" w:cs="仿宋_GB2312" w:eastAsia="仿宋_GB2312"/>
        </w:rPr>
        <w:t>详见附件：详细评审-5、零配件兼容可靠性.docx</w:t>
      </w:r>
    </w:p>
    <w:p>
      <w:pPr>
        <w:pStyle w:val="null3"/>
        <w:ind w:firstLine="960"/>
      </w:pPr>
      <w:r>
        <w:rPr>
          <w:rFonts w:ascii="仿宋_GB2312" w:hAnsi="仿宋_GB2312" w:cs="仿宋_GB2312" w:eastAsia="仿宋_GB2312"/>
        </w:rPr>
        <w:t>详见附件：详细评审-6、人员配备方案.docx</w:t>
      </w:r>
    </w:p>
    <w:p>
      <w:pPr>
        <w:pStyle w:val="null3"/>
        <w:ind w:firstLine="960"/>
      </w:pPr>
      <w:r>
        <w:rPr>
          <w:rFonts w:ascii="仿宋_GB2312" w:hAnsi="仿宋_GB2312" w:cs="仿宋_GB2312" w:eastAsia="仿宋_GB2312"/>
        </w:rPr>
        <w:t>详见附件：详细评审-7、服务承诺.docx</w:t>
      </w:r>
    </w:p>
    <w:p>
      <w:pPr>
        <w:pStyle w:val="null3"/>
        <w:ind w:firstLine="960"/>
      </w:pPr>
      <w:r>
        <w:rPr>
          <w:rFonts w:ascii="仿宋_GB2312" w:hAnsi="仿宋_GB2312" w:cs="仿宋_GB2312" w:eastAsia="仿宋_GB2312"/>
        </w:rPr>
        <w:t>详见附件：详细评审-8、服务时效响应.docx</w:t>
      </w:r>
    </w:p>
    <w:p>
      <w:pPr>
        <w:pStyle w:val="null3"/>
        <w:ind w:firstLine="960"/>
      </w:pPr>
      <w:r>
        <w:rPr>
          <w:rFonts w:ascii="仿宋_GB2312" w:hAnsi="仿宋_GB2312" w:cs="仿宋_GB2312" w:eastAsia="仿宋_GB2312"/>
        </w:rPr>
        <w:t>详见附件：详细评审-9、类似业绩.docx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详见附件：参考合同（服务类）.docx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