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B72860">
      <w:pPr>
        <w:pStyle w:val="5"/>
        <w:jc w:val="center"/>
        <w:rPr>
          <w:rFonts w:hint="eastAsia" w:ascii="宋体" w:hAnsi="宋体" w:eastAsia="宋体" w:cs="宋体"/>
          <w:b/>
          <w:bCs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30"/>
          <w:szCs w:val="30"/>
          <w:lang w:val="en-US" w:eastAsia="zh-CN"/>
        </w:rPr>
        <w:t>采购需求</w:t>
      </w:r>
    </w:p>
    <w:p w14:paraId="5D53A117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宋体" w:hAnsi="宋体" w:eastAsia="宋体" w:cs="宋体"/>
          <w:b/>
          <w:bCs w:val="0"/>
          <w:sz w:val="21"/>
          <w:szCs w:val="21"/>
        </w:rPr>
      </w:pPr>
      <w:r>
        <w:rPr>
          <w:rFonts w:hint="eastAsia" w:ascii="宋体" w:hAnsi="宋体" w:eastAsia="宋体" w:cs="宋体"/>
          <w:b/>
          <w:bCs w:val="0"/>
          <w:sz w:val="21"/>
          <w:szCs w:val="21"/>
        </w:rPr>
        <w:t>一、项目概况</w:t>
      </w:r>
    </w:p>
    <w:p w14:paraId="7E36B920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00"/>
        <w:jc w:val="both"/>
        <w:textAlignment w:val="auto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石楠球107株，雪松390株，冬青263.2㎡，苦楝3株，包括但不限于起苗、包装、修剪、装车、运输、挖树穴、栽植、生根粉、多菌灵、打撑杆、挂营养液等与苗木迁移养护相关的全部工作。</w:t>
      </w:r>
    </w:p>
    <w:p w14:paraId="368F3F35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宋体" w:hAnsi="宋体" w:eastAsia="宋体" w:cs="宋体"/>
          <w:b/>
          <w:bCs w:val="0"/>
          <w:sz w:val="21"/>
          <w:szCs w:val="21"/>
        </w:rPr>
      </w:pPr>
      <w:r>
        <w:rPr>
          <w:rFonts w:hint="eastAsia" w:ascii="宋体" w:hAnsi="宋体" w:eastAsia="宋体" w:cs="宋体"/>
          <w:b/>
          <w:bCs w:val="0"/>
          <w:sz w:val="21"/>
          <w:szCs w:val="21"/>
        </w:rPr>
        <w:t>二、服务内容</w:t>
      </w:r>
    </w:p>
    <w:p w14:paraId="40B8CDEC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按照合同约定时间，对苗木包括但不限于起苗、包装、修剪、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装车、运输、挖树穴、栽植、生根粉、多菌灵、打撑杆、挂营养液等与苗木迁移养护相关的全部工作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。并在迁移过程中保留照片及相关资料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；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按照迁移要求完成苗木迁移、养护工作并建立迁移、养护工作档案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；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做好迁移养护信息留存、资料收集及归档工作。</w:t>
      </w:r>
    </w:p>
    <w:p w14:paraId="262DCB23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21"/>
          <w:szCs w:val="21"/>
        </w:rPr>
      </w:pPr>
    </w:p>
    <w:tbl>
      <w:tblPr>
        <w:tblStyle w:val="3"/>
        <w:tblW w:w="87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8"/>
        <w:gridCol w:w="1410"/>
        <w:gridCol w:w="3600"/>
        <w:gridCol w:w="1563"/>
        <w:gridCol w:w="1356"/>
      </w:tblGrid>
      <w:tr w14:paraId="174AA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808" w:type="dxa"/>
            <w:vAlign w:val="top"/>
          </w:tcPr>
          <w:p w14:paraId="24E98578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/>
                <w:bCs w:val="0"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410" w:type="dxa"/>
            <w:vAlign w:val="top"/>
          </w:tcPr>
          <w:p w14:paraId="6D4FA4DA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/>
                <w:bCs w:val="0"/>
                <w:sz w:val="21"/>
                <w:szCs w:val="21"/>
                <w:lang w:val="en-US" w:eastAsia="zh-CN"/>
              </w:rPr>
              <w:t>苗木</w:t>
            </w:r>
          </w:p>
          <w:p w14:paraId="708B5240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sz w:val="21"/>
                <w:szCs w:val="21"/>
              </w:rPr>
            </w:pPr>
            <w:r>
              <w:rPr>
                <w:rFonts w:hint="default" w:ascii="宋体" w:hAnsi="宋体" w:eastAsia="宋体" w:cs="宋体"/>
                <w:b/>
                <w:bCs w:val="0"/>
                <w:sz w:val="21"/>
                <w:szCs w:val="21"/>
                <w:lang w:val="en-US" w:eastAsia="zh-CN"/>
              </w:rPr>
              <w:t>名称</w:t>
            </w:r>
          </w:p>
        </w:tc>
        <w:tc>
          <w:tcPr>
            <w:tcW w:w="3600" w:type="dxa"/>
            <w:vAlign w:val="top"/>
          </w:tcPr>
          <w:p w14:paraId="1D574B61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sz w:val="21"/>
                <w:szCs w:val="21"/>
              </w:rPr>
            </w:pPr>
            <w:r>
              <w:rPr>
                <w:rFonts w:hint="default" w:ascii="宋体" w:hAnsi="宋体" w:eastAsia="宋体" w:cs="宋体"/>
                <w:b/>
                <w:bCs w:val="0"/>
                <w:sz w:val="21"/>
                <w:szCs w:val="21"/>
                <w:lang w:val="en-US" w:eastAsia="zh-CN"/>
              </w:rPr>
              <w:t>规格</w:t>
            </w:r>
          </w:p>
        </w:tc>
        <w:tc>
          <w:tcPr>
            <w:tcW w:w="1563" w:type="dxa"/>
            <w:vAlign w:val="top"/>
          </w:tcPr>
          <w:p w14:paraId="7DC42E1F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sz w:val="21"/>
                <w:szCs w:val="21"/>
              </w:rPr>
            </w:pPr>
            <w:r>
              <w:rPr>
                <w:rFonts w:hint="default" w:ascii="宋体" w:hAnsi="宋体" w:eastAsia="宋体" w:cs="宋体"/>
                <w:b/>
                <w:bCs w:val="0"/>
                <w:sz w:val="21"/>
                <w:szCs w:val="21"/>
                <w:lang w:val="en-US" w:eastAsia="zh-CN"/>
              </w:rPr>
              <w:t>数量</w:t>
            </w:r>
          </w:p>
        </w:tc>
        <w:tc>
          <w:tcPr>
            <w:tcW w:w="1356" w:type="dxa"/>
            <w:vAlign w:val="top"/>
          </w:tcPr>
          <w:p w14:paraId="14E1F09C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 w:val="0"/>
                <w:sz w:val="21"/>
                <w:szCs w:val="21"/>
              </w:rPr>
            </w:pPr>
            <w:r>
              <w:rPr>
                <w:rFonts w:hint="default" w:ascii="宋体" w:hAnsi="宋体" w:eastAsia="宋体" w:cs="宋体"/>
                <w:b/>
                <w:bCs w:val="0"/>
                <w:sz w:val="21"/>
                <w:szCs w:val="21"/>
                <w:lang w:val="en-US" w:eastAsia="zh-CN"/>
              </w:rPr>
              <w:t>单位</w:t>
            </w:r>
          </w:p>
        </w:tc>
      </w:tr>
      <w:tr w14:paraId="415772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808" w:type="dxa"/>
            <w:vAlign w:val="top"/>
          </w:tcPr>
          <w:p w14:paraId="6A939B7E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410" w:type="dxa"/>
            <w:vAlign w:val="top"/>
          </w:tcPr>
          <w:p w14:paraId="4AB56110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石楠球</w:t>
            </w:r>
          </w:p>
          <w:p w14:paraId="556EE5BE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3600" w:type="dxa"/>
            <w:vAlign w:val="top"/>
          </w:tcPr>
          <w:p w14:paraId="6EDCD0FD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株高：1.9m</w:t>
            </w: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  </w:t>
            </w:r>
          </w:p>
          <w:p w14:paraId="58CDFBF8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冠径：200cm</w:t>
            </w:r>
          </w:p>
        </w:tc>
        <w:tc>
          <w:tcPr>
            <w:tcW w:w="1563" w:type="dxa"/>
            <w:vAlign w:val="top"/>
          </w:tcPr>
          <w:p w14:paraId="059DFAE1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107</w:t>
            </w:r>
          </w:p>
        </w:tc>
        <w:tc>
          <w:tcPr>
            <w:tcW w:w="1356" w:type="dxa"/>
            <w:vAlign w:val="top"/>
          </w:tcPr>
          <w:p w14:paraId="4CCF7135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株</w:t>
            </w:r>
          </w:p>
        </w:tc>
      </w:tr>
      <w:tr w14:paraId="1D9F4C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808" w:type="dxa"/>
            <w:vAlign w:val="top"/>
          </w:tcPr>
          <w:p w14:paraId="0B739244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410" w:type="dxa"/>
            <w:vAlign w:val="top"/>
          </w:tcPr>
          <w:p w14:paraId="13E45FBE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雪松</w:t>
            </w:r>
          </w:p>
          <w:p w14:paraId="16FE4772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3600" w:type="dxa"/>
            <w:vAlign w:val="top"/>
          </w:tcPr>
          <w:p w14:paraId="4363E903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胸径/干径/米径/地径：12cm</w:t>
            </w:r>
          </w:p>
        </w:tc>
        <w:tc>
          <w:tcPr>
            <w:tcW w:w="1563" w:type="dxa"/>
            <w:vAlign w:val="top"/>
          </w:tcPr>
          <w:p w14:paraId="5C1B6318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390</w:t>
            </w:r>
          </w:p>
        </w:tc>
        <w:tc>
          <w:tcPr>
            <w:tcW w:w="1356" w:type="dxa"/>
            <w:vAlign w:val="top"/>
          </w:tcPr>
          <w:p w14:paraId="3E708877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株</w:t>
            </w:r>
          </w:p>
        </w:tc>
      </w:tr>
      <w:tr w14:paraId="0A368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808" w:type="dxa"/>
            <w:vAlign w:val="top"/>
          </w:tcPr>
          <w:p w14:paraId="3B6FD7B7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410" w:type="dxa"/>
            <w:vAlign w:val="top"/>
          </w:tcPr>
          <w:p w14:paraId="3A1AA6B9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冬青</w:t>
            </w:r>
          </w:p>
          <w:p w14:paraId="516314E0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3600" w:type="dxa"/>
            <w:vAlign w:val="top"/>
          </w:tcPr>
          <w:p w14:paraId="29DDE2E1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密度:81株/㎡</w:t>
            </w:r>
          </w:p>
        </w:tc>
        <w:tc>
          <w:tcPr>
            <w:tcW w:w="1563" w:type="dxa"/>
            <w:vAlign w:val="top"/>
          </w:tcPr>
          <w:p w14:paraId="2B519F3C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263.2</w:t>
            </w:r>
          </w:p>
        </w:tc>
        <w:tc>
          <w:tcPr>
            <w:tcW w:w="1356" w:type="dxa"/>
            <w:vAlign w:val="top"/>
          </w:tcPr>
          <w:p w14:paraId="1FC122CD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㎡</w:t>
            </w:r>
          </w:p>
        </w:tc>
      </w:tr>
      <w:tr w14:paraId="33A5A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7" w:hRule="atLeast"/>
        </w:trPr>
        <w:tc>
          <w:tcPr>
            <w:tcW w:w="808" w:type="dxa"/>
            <w:vAlign w:val="top"/>
          </w:tcPr>
          <w:p w14:paraId="5715D72A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410" w:type="dxa"/>
            <w:vAlign w:val="top"/>
          </w:tcPr>
          <w:p w14:paraId="38FD09E0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苦楝</w:t>
            </w:r>
          </w:p>
          <w:p w14:paraId="605D2139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</w:p>
        </w:tc>
        <w:tc>
          <w:tcPr>
            <w:tcW w:w="3600" w:type="dxa"/>
            <w:vAlign w:val="top"/>
          </w:tcPr>
          <w:p w14:paraId="4D74D6F4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both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胸径/干径/米径/地径：25cm</w:t>
            </w:r>
          </w:p>
        </w:tc>
        <w:tc>
          <w:tcPr>
            <w:tcW w:w="1563" w:type="dxa"/>
            <w:vAlign w:val="top"/>
          </w:tcPr>
          <w:p w14:paraId="01D6F485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356" w:type="dxa"/>
            <w:vAlign w:val="top"/>
          </w:tcPr>
          <w:p w14:paraId="61F63395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</w:rPr>
            </w:pPr>
            <w:r>
              <w:rPr>
                <w:rFonts w:hint="default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株</w:t>
            </w:r>
          </w:p>
        </w:tc>
      </w:tr>
    </w:tbl>
    <w:p w14:paraId="6804FFC9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</w:p>
    <w:p w14:paraId="04BE0501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宋体" w:hAnsi="宋体" w:eastAsia="宋体" w:cs="宋体"/>
          <w:b/>
          <w:bCs w:val="0"/>
          <w:sz w:val="21"/>
          <w:szCs w:val="21"/>
        </w:rPr>
      </w:pPr>
      <w:r>
        <w:rPr>
          <w:rFonts w:hint="eastAsia" w:ascii="宋体" w:hAnsi="宋体" w:eastAsia="宋体" w:cs="宋体"/>
          <w:b/>
          <w:bCs w:val="0"/>
          <w:sz w:val="21"/>
          <w:szCs w:val="21"/>
          <w:lang w:val="en-US" w:eastAsia="zh-CN"/>
        </w:rPr>
        <w:t>三</w:t>
      </w:r>
      <w:r>
        <w:rPr>
          <w:rFonts w:hint="eastAsia" w:ascii="宋体" w:hAnsi="宋体" w:eastAsia="宋体" w:cs="宋体"/>
          <w:b/>
          <w:bCs w:val="0"/>
          <w:sz w:val="21"/>
          <w:szCs w:val="21"/>
        </w:rPr>
        <w:t>、服务要求</w:t>
      </w:r>
    </w:p>
    <w:p w14:paraId="4537CBEF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符合现行国家标准或行业相关规范。</w:t>
      </w:r>
    </w:p>
    <w:p w14:paraId="090E5976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宋体" w:hAnsi="宋体" w:eastAsia="宋体" w:cs="宋体"/>
          <w:b/>
          <w:bCs w:val="0"/>
          <w:sz w:val="21"/>
          <w:szCs w:val="21"/>
        </w:rPr>
      </w:pPr>
      <w:r>
        <w:rPr>
          <w:rFonts w:hint="eastAsia" w:ascii="宋体" w:hAnsi="宋体" w:eastAsia="宋体" w:cs="宋体"/>
          <w:b/>
          <w:bCs w:val="0"/>
          <w:sz w:val="21"/>
          <w:szCs w:val="21"/>
          <w:lang w:val="en-US" w:eastAsia="zh-CN"/>
        </w:rPr>
        <w:t>四</w:t>
      </w:r>
      <w:r>
        <w:rPr>
          <w:rFonts w:hint="eastAsia" w:ascii="宋体" w:hAnsi="宋体" w:eastAsia="宋体" w:cs="宋体"/>
          <w:b/>
          <w:bCs w:val="0"/>
          <w:sz w:val="21"/>
          <w:szCs w:val="21"/>
        </w:rPr>
        <w:t>、商务要求</w:t>
      </w:r>
    </w:p>
    <w:p w14:paraId="4B0FEF2E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1、服务期限：自合同签订之日起，苗木迁移完成后，一年养护期届满。</w:t>
      </w:r>
    </w:p>
    <w:p w14:paraId="2F439871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2、服务地点：具体以甲方指定地点为准。</w:t>
      </w:r>
    </w:p>
    <w:p w14:paraId="0F610171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3、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考核（验收）标准和方法</w:t>
      </w:r>
    </w:p>
    <w:p w14:paraId="3D93665F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合格</w:t>
      </w:r>
    </w:p>
    <w:p w14:paraId="3A9EB454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4、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支付方式</w:t>
      </w:r>
    </w:p>
    <w:p w14:paraId="2A89EE21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</w:rPr>
        <w:t>分期付款</w:t>
      </w:r>
    </w:p>
    <w:p w14:paraId="5C7352C4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5、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支付约定</w:t>
      </w:r>
    </w:p>
    <w:p w14:paraId="56A3E613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</w:rPr>
        <w:t xml:space="preserve">采购包1： 付款条件说明： 合同签订后，乙方向甲方开具等额的增值税普通发票，甲方收到合规的发票 ，达到付款条件起 30 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个工作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 xml:space="preserve">日内，支付合同总金额的 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30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.00%。</w:t>
      </w:r>
    </w:p>
    <w:p w14:paraId="36630A94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</w:rPr>
        <w:t xml:space="preserve">采购包1： 付款条件说明： 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完成苗木迁移工作后，乙方向甲方开具等额的增值税普通发票，甲方收到合规的发票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 xml:space="preserve"> ，达到付款条件起 30 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个工作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 xml:space="preserve">日内，支付合同总金额的 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65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.00%。</w:t>
      </w:r>
    </w:p>
    <w:p w14:paraId="000DF8AA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</w:rPr>
        <w:t xml:space="preserve">采购包1： 付款条件说明： 一年养护期届满，经验收合格后，乙方向甲方开具等额的增值税普通发票，甲方收到合规的发票 ，达到付款条件起 30 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个工作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 xml:space="preserve">日内，支付合同总金额的 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.00%。</w:t>
      </w:r>
    </w:p>
    <w:p w14:paraId="3A973D0F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</w:rPr>
        <w:t>每次付款前，乙方未能提供甲方要求发票的，甲方可拒绝付款并不承担认可逾期付款的违约责任。</w:t>
      </w:r>
    </w:p>
    <w:p w14:paraId="3BC2A361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6、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违约责任及解决争议的方法</w:t>
      </w:r>
    </w:p>
    <w:p w14:paraId="63BE736A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00"/>
        <w:jc w:val="both"/>
        <w:textAlignment w:val="auto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按《中华人民共和国民法典》中的相关条款执行。</w:t>
      </w:r>
    </w:p>
    <w:p w14:paraId="0B7B3477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00"/>
        <w:jc w:val="both"/>
        <w:textAlignment w:val="auto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如任意一方不履行合同义务或者履行合同义务不符合约定的，应当承担继续履行、采取补救措施或者赔偿损失等违约责任。</w:t>
      </w:r>
    </w:p>
    <w:p w14:paraId="375EA2EA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20" w:firstLineChars="200"/>
        <w:jc w:val="both"/>
        <w:textAlignment w:val="auto"/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（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）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如碰到不可抗力因素造成无法按照原计划提供服务的，由甲乙双方协商解决。</w:t>
      </w:r>
    </w:p>
    <w:p w14:paraId="2CD479D7"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宋体" w:hAnsi="宋体" w:eastAsia="宋体" w:cs="宋体"/>
          <w:b w:val="0"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 w:val="0"/>
          <w:sz w:val="21"/>
          <w:szCs w:val="21"/>
          <w:lang w:val="en-US" w:eastAsia="zh-CN"/>
        </w:rPr>
        <w:t>五</w:t>
      </w:r>
      <w:r>
        <w:rPr>
          <w:rFonts w:hint="eastAsia" w:ascii="宋体" w:hAnsi="宋体" w:eastAsia="宋体" w:cs="宋体"/>
          <w:b/>
          <w:bCs w:val="0"/>
          <w:sz w:val="21"/>
          <w:szCs w:val="21"/>
        </w:rPr>
        <w:t>、服务范围：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本项目包含的所有服务。</w:t>
      </w:r>
    </w:p>
    <w:p w14:paraId="6880D6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sz w:val="21"/>
          <w:szCs w:val="21"/>
        </w:rPr>
      </w:pPr>
      <w:r>
        <w:rPr>
          <w:rFonts w:hint="eastAsia" w:ascii="宋体" w:hAnsi="宋体" w:eastAsia="宋体" w:cs="宋体"/>
          <w:b/>
          <w:bCs w:val="0"/>
          <w:sz w:val="21"/>
          <w:szCs w:val="21"/>
          <w:lang w:val="en-US" w:eastAsia="zh-CN"/>
        </w:rPr>
        <w:t>六</w:t>
      </w:r>
      <w:r>
        <w:rPr>
          <w:rFonts w:hint="eastAsia" w:ascii="宋体" w:hAnsi="宋体" w:eastAsia="宋体" w:cs="宋体"/>
          <w:b/>
          <w:bCs w:val="0"/>
          <w:sz w:val="21"/>
          <w:szCs w:val="21"/>
        </w:rPr>
        <w:t>、服务标准：</w:t>
      </w:r>
      <w:r>
        <w:rPr>
          <w:rFonts w:hint="eastAsia" w:ascii="宋体" w:hAnsi="宋体" w:eastAsia="宋体" w:cs="宋体"/>
          <w:b w:val="0"/>
          <w:bCs/>
          <w:sz w:val="21"/>
          <w:szCs w:val="21"/>
        </w:rPr>
        <w:t>合格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0C73F0"/>
    <w:rsid w:val="09205A07"/>
    <w:rsid w:val="1A0C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2026-06-01T03:35:00Z</dcterms:created>
  <dc:creator>。</dc:creator>
  <cp:lastModifiedBy>。</cp:lastModifiedBy>
  <dcterms:modified xsi:type="dcterms:W3CDTF">2026-06-01T06:41:28Z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33066DBA7F274A1C9397BCD928596BDE_11</vt:lpwstr>
  </property>
  <property fmtid="{D5CDD505-2E9C-101B-9397-08002B2CF9AE}" pid="4" name="KSOTemplateDocerSaveRecord">
    <vt:lpwstr>eyJoZGlkIjoiOGZhMGY4NGI5YmU5OGE3YjRiMDgyODliZGQxOWY2MGYiLCJ1c2VySWQiOiI3MjI4MjA5NTgifQ==</vt:lpwstr>
  </property>
</Properties>
</file>