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1C4EC0">
      <w:pPr>
        <w:tabs>
          <w:tab w:val="left" w:pos="735"/>
        </w:tabs>
        <w:autoSpaceDE w:val="0"/>
        <w:autoSpaceDN w:val="0"/>
        <w:adjustRightInd w:val="0"/>
        <w:snapToGrid w:val="0"/>
        <w:spacing w:before="240" w:beforeLines="100" w:line="360" w:lineRule="auto"/>
        <w:jc w:val="center"/>
        <w:rPr>
          <w:rFonts w:hint="default" w:ascii="仿宋_GB2312" w:hAnsi="仿宋_GB2312" w:eastAsia="仿宋_GB2312" w:cs="仿宋_GB2312"/>
          <w:b/>
          <w:bCs/>
          <w:sz w:val="24"/>
          <w:lang w:val="en-US" w:eastAsia="zh-CN"/>
        </w:rPr>
      </w:pPr>
      <w:r>
        <w:rPr>
          <w:rFonts w:hint="eastAsia" w:ascii="仿宋_GB2312" w:hAnsi="仿宋_GB2312" w:eastAsia="仿宋_GB2312" w:cs="仿宋_GB2312"/>
          <w:b/>
          <w:bCs/>
          <w:sz w:val="24"/>
          <w:lang w:val="en-US" w:eastAsia="zh-CN"/>
        </w:rPr>
        <w:t>拟签订的合同模板（参考）</w:t>
      </w:r>
    </w:p>
    <w:p w14:paraId="3C2E73AE">
      <w:pPr>
        <w:tabs>
          <w:tab w:val="left" w:pos="735"/>
        </w:tabs>
        <w:autoSpaceDE w:val="0"/>
        <w:autoSpaceDN w:val="0"/>
        <w:adjustRightInd w:val="0"/>
        <w:snapToGrid w:val="0"/>
        <w:spacing w:before="240" w:beforeLines="100" w:line="360" w:lineRule="auto"/>
        <w:rPr>
          <w:rFonts w:hint="eastAsia" w:ascii="仿宋_GB2312" w:hAnsi="仿宋_GB2312" w:eastAsia="仿宋_GB2312" w:cs="仿宋_GB2312"/>
          <w:b/>
          <w:bCs/>
          <w:sz w:val="24"/>
          <w:lang w:val="zh-CN"/>
        </w:rPr>
      </w:pPr>
      <w:r>
        <w:rPr>
          <w:rFonts w:hint="eastAsia" w:ascii="仿宋_GB2312" w:hAnsi="仿宋_GB2312" w:eastAsia="仿宋_GB2312" w:cs="仿宋_GB2312"/>
          <w:b/>
          <w:bCs/>
          <w:sz w:val="24"/>
          <w:lang w:val="zh-CN"/>
        </w:rPr>
        <w:t>甲方：</w:t>
      </w:r>
      <w:r>
        <w:rPr>
          <w:rFonts w:hint="eastAsia" w:ascii="仿宋_GB2312" w:hAnsi="仿宋_GB2312" w:eastAsia="仿宋_GB2312" w:cs="仿宋_GB2312"/>
          <w:bCs/>
          <w:sz w:val="24"/>
          <w:lang w:val="zh-CN"/>
        </w:rPr>
        <w:t xml:space="preserve">（前款所称采购人）     </w:t>
      </w:r>
      <w:r>
        <w:rPr>
          <w:rFonts w:hint="eastAsia" w:ascii="仿宋_GB2312" w:hAnsi="仿宋_GB2312" w:eastAsia="仿宋_GB2312" w:cs="仿宋_GB2312"/>
          <w:bCs/>
          <w:sz w:val="24"/>
        </w:rPr>
        <w:t xml:space="preserve">    </w:t>
      </w:r>
      <w:r>
        <w:rPr>
          <w:rFonts w:hint="eastAsia" w:ascii="仿宋_GB2312" w:hAnsi="仿宋_GB2312" w:eastAsia="仿宋_GB2312" w:cs="仿宋_GB2312"/>
          <w:bCs/>
          <w:sz w:val="24"/>
          <w:lang w:val="zh-CN"/>
        </w:rPr>
        <w:t>住所：</w:t>
      </w:r>
    </w:p>
    <w:p w14:paraId="5D18BF10">
      <w:pPr>
        <w:tabs>
          <w:tab w:val="left" w:pos="735"/>
        </w:tabs>
        <w:autoSpaceDE w:val="0"/>
        <w:autoSpaceDN w:val="0"/>
        <w:adjustRightInd w:val="0"/>
        <w:snapToGrid w:val="0"/>
        <w:spacing w:line="360" w:lineRule="auto"/>
        <w:rPr>
          <w:rFonts w:hint="eastAsia" w:ascii="仿宋_GB2312" w:hAnsi="仿宋_GB2312" w:eastAsia="仿宋_GB2312" w:cs="仿宋_GB2312"/>
          <w:bCs/>
          <w:sz w:val="24"/>
          <w:lang w:val="zh-CN"/>
        </w:rPr>
      </w:pPr>
      <w:r>
        <w:rPr>
          <w:rFonts w:hint="eastAsia" w:ascii="仿宋_GB2312" w:hAnsi="仿宋_GB2312" w:eastAsia="仿宋_GB2312" w:cs="仿宋_GB2312"/>
          <w:b/>
          <w:bCs/>
          <w:sz w:val="24"/>
          <w:lang w:val="zh-CN"/>
        </w:rPr>
        <w:t>乙方：</w:t>
      </w:r>
      <w:r>
        <w:rPr>
          <w:rFonts w:hint="eastAsia" w:ascii="仿宋_GB2312" w:hAnsi="仿宋_GB2312" w:eastAsia="仿宋_GB2312" w:cs="仿宋_GB2312"/>
          <w:bCs/>
          <w:sz w:val="24"/>
          <w:lang w:val="zh-CN"/>
        </w:rPr>
        <w:t>（前款所称</w:t>
      </w:r>
      <w:r>
        <w:rPr>
          <w:rFonts w:hint="eastAsia" w:ascii="仿宋_GB2312" w:hAnsi="仿宋_GB2312" w:eastAsia="仿宋_GB2312" w:cs="仿宋_GB2312"/>
          <w:bCs/>
          <w:sz w:val="24"/>
        </w:rPr>
        <w:t>成交供应商</w:t>
      </w:r>
      <w:r>
        <w:rPr>
          <w:rFonts w:hint="eastAsia" w:ascii="仿宋_GB2312" w:hAnsi="仿宋_GB2312" w:eastAsia="仿宋_GB2312" w:cs="仿宋_GB2312"/>
          <w:bCs/>
          <w:sz w:val="24"/>
          <w:lang w:val="zh-CN"/>
        </w:rPr>
        <w:t>）     住所：</w:t>
      </w:r>
    </w:p>
    <w:p w14:paraId="1966B563">
      <w:pPr>
        <w:numPr>
          <w:ilvl w:val="0"/>
          <w:numId w:val="1"/>
        </w:numPr>
        <w:adjustRightInd w:val="0"/>
        <w:snapToGrid w:val="0"/>
        <w:spacing w:line="360" w:lineRule="auto"/>
        <w:ind w:firstLine="480" w:firstLineChars="200"/>
        <w:rPr>
          <w:rFonts w:hint="eastAsia" w:ascii="仿宋_GB2312" w:hAnsi="仿宋_GB2312" w:eastAsia="仿宋_GB2312" w:cs="仿宋_GB2312"/>
          <w:sz w:val="24"/>
        </w:rPr>
      </w:pPr>
      <w:bookmarkStart w:id="0" w:name="_Toc19515384"/>
      <w:r>
        <w:rPr>
          <w:rFonts w:hint="eastAsia" w:ascii="仿宋_GB2312" w:hAnsi="仿宋_GB2312" w:eastAsia="仿宋_GB2312" w:cs="仿宋_GB2312"/>
          <w:sz w:val="24"/>
        </w:rPr>
        <w:t>合同内容（标的、数量、质量等）</w:t>
      </w:r>
      <w:bookmarkEnd w:id="0"/>
      <w:r>
        <w:rPr>
          <w:rFonts w:hint="eastAsia" w:ascii="仿宋_GB2312" w:hAnsi="仿宋_GB2312" w:eastAsia="仿宋_GB2312" w:cs="仿宋_GB2312"/>
          <w:sz w:val="24"/>
        </w:rPr>
        <w:t>：</w:t>
      </w:r>
    </w:p>
    <w:p w14:paraId="14495203">
      <w:pPr>
        <w:adjustRightInd w:val="0"/>
        <w:snapToGrid w:val="0"/>
        <w:spacing w:line="360" w:lineRule="auto"/>
        <w:ind w:firstLine="720" w:firstLineChars="300"/>
        <w:rPr>
          <w:rFonts w:hint="eastAsia" w:ascii="仿宋_GB2312" w:hAnsi="仿宋_GB2312" w:eastAsia="仿宋_GB2312" w:cs="仿宋_GB2312"/>
          <w:sz w:val="24"/>
        </w:rPr>
      </w:pPr>
      <w:r>
        <w:rPr>
          <w:rFonts w:hint="eastAsia" w:ascii="仿宋_GB2312" w:hAnsi="仿宋_GB2312" w:eastAsia="仿宋_GB2312" w:cs="仿宋_GB2312"/>
          <w:sz w:val="24"/>
        </w:rPr>
        <w:t>详见磋商文件第</w:t>
      </w:r>
      <w:r>
        <w:rPr>
          <w:rFonts w:hint="eastAsia" w:ascii="仿宋_GB2312" w:hAnsi="仿宋_GB2312" w:eastAsia="仿宋_GB2312" w:cs="仿宋_GB2312"/>
          <w:sz w:val="24"/>
          <w:lang w:val="en-US" w:eastAsia="zh-CN"/>
        </w:rPr>
        <w:t>三</w:t>
      </w:r>
      <w:r>
        <w:rPr>
          <w:rFonts w:hint="eastAsia" w:ascii="仿宋_GB2312" w:hAnsi="仿宋_GB2312" w:eastAsia="仿宋_GB2312" w:cs="仿宋_GB2312"/>
          <w:sz w:val="24"/>
        </w:rPr>
        <w:t>章磋商项目技术、服务、商务及其他要求</w:t>
      </w:r>
    </w:p>
    <w:p w14:paraId="5BDBF5A9">
      <w:pPr>
        <w:adjustRightInd w:val="0"/>
        <w:snapToGrid w:val="0"/>
        <w:spacing w:line="360" w:lineRule="auto"/>
        <w:ind w:firstLine="480" w:firstLineChars="200"/>
        <w:rPr>
          <w:rFonts w:hint="eastAsia" w:ascii="仿宋_GB2312" w:hAnsi="仿宋_GB2312" w:eastAsia="仿宋_GB2312" w:cs="仿宋_GB2312"/>
          <w:sz w:val="24"/>
        </w:rPr>
      </w:pPr>
      <w:bookmarkStart w:id="1" w:name="_Toc19515385"/>
      <w:r>
        <w:rPr>
          <w:rFonts w:hint="eastAsia" w:ascii="仿宋_GB2312" w:hAnsi="仿宋_GB2312" w:eastAsia="仿宋_GB2312" w:cs="仿宋_GB2312"/>
          <w:sz w:val="24"/>
        </w:rPr>
        <w:t>二、合同价款</w:t>
      </w:r>
      <w:bookmarkEnd w:id="1"/>
    </w:p>
    <w:p w14:paraId="206C338E">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1、合同总价：</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元。</w:t>
      </w:r>
    </w:p>
    <w:p w14:paraId="3CA2C74D">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总价包括：包括但不限于本次组织服务的策划费用、场地搭建费用、设计等服务、会务组织、管理费、指定地点的住宿、餐饮、耗材、车辆费用、服务过程的场地使用费用、路费、设备费用、人员费用、风险费、保险费、管理费、安保费、税费、合理的利润、协调费用等活动过程产生的所有费用（包含采购人临时改变行程或流程等产生的费用）已经包含在该价格中，且不做任何调整。</w:t>
      </w:r>
    </w:p>
    <w:p w14:paraId="69328438">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3、合同为固定总价合同，不受市场价变化的影响。</w:t>
      </w:r>
    </w:p>
    <w:p w14:paraId="5207412B">
      <w:pPr>
        <w:adjustRightInd w:val="0"/>
        <w:snapToGrid w:val="0"/>
        <w:spacing w:line="360" w:lineRule="auto"/>
        <w:ind w:firstLine="480" w:firstLineChars="200"/>
        <w:rPr>
          <w:rFonts w:hint="eastAsia" w:ascii="仿宋_GB2312" w:hAnsi="仿宋_GB2312" w:eastAsia="仿宋_GB2312" w:cs="仿宋_GB2312"/>
          <w:sz w:val="24"/>
        </w:rPr>
      </w:pPr>
      <w:bookmarkStart w:id="2" w:name="_Toc19515386"/>
      <w:r>
        <w:rPr>
          <w:rFonts w:hint="eastAsia" w:ascii="仿宋_GB2312" w:hAnsi="仿宋_GB2312" w:eastAsia="仿宋_GB2312" w:cs="仿宋_GB2312"/>
          <w:sz w:val="24"/>
        </w:rPr>
        <w:t>三、合同结算</w:t>
      </w:r>
      <w:bookmarkEnd w:id="2"/>
    </w:p>
    <w:p w14:paraId="7B5BECE1">
      <w:pPr>
        <w:adjustRightInd w:val="0"/>
        <w:snapToGrid w:val="0"/>
        <w:spacing w:line="360" w:lineRule="auto"/>
        <w:ind w:firstLine="480" w:firstLineChars="200"/>
        <w:rPr>
          <w:rFonts w:hint="eastAsia" w:ascii="仿宋_GB2312" w:hAnsi="仿宋_GB2312" w:eastAsia="仿宋_GB2312" w:cs="仿宋_GB2312"/>
          <w:color w:val="auto"/>
          <w:sz w:val="24"/>
        </w:rPr>
      </w:pPr>
      <w:bookmarkStart w:id="3" w:name="_Toc19515387"/>
      <w:r>
        <w:rPr>
          <w:rFonts w:hint="eastAsia" w:ascii="仿宋_GB2312" w:hAnsi="仿宋_GB2312" w:eastAsia="仿宋_GB2312" w:cs="仿宋_GB2312"/>
          <w:sz w:val="24"/>
        </w:rPr>
        <w:t>1、付款比例：项目完成并通过验收后，达到付款条件起22个工作日内，支付合同总金额的100%</w:t>
      </w:r>
      <w:r>
        <w:rPr>
          <w:rFonts w:hint="eastAsia" w:ascii="仿宋_GB2312" w:hAnsi="仿宋_GB2312" w:eastAsia="仿宋_GB2312" w:cs="仿宋_GB2312"/>
          <w:color w:val="auto"/>
          <w:sz w:val="24"/>
        </w:rPr>
        <w:t>。</w:t>
      </w:r>
    </w:p>
    <w:p w14:paraId="109B60E9">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2、结算方式：银行转账。（对于满足合同约定支付条件的，对于满足合同约定支付条件的，采购人原则上应当自收到发票后10个工作日内将资金支付到合同约定的供应商账户）</w:t>
      </w:r>
    </w:p>
    <w:p w14:paraId="33E19726">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3、结算单位：由</w:t>
      </w:r>
      <w:r>
        <w:rPr>
          <w:rFonts w:hint="eastAsia" w:ascii="仿宋_GB2312" w:hAnsi="仿宋_GB2312" w:eastAsia="仿宋_GB2312" w:cs="仿宋_GB2312"/>
          <w:sz w:val="24"/>
          <w:u w:val="single"/>
        </w:rPr>
        <w:t>采购人</w:t>
      </w:r>
      <w:r>
        <w:rPr>
          <w:rFonts w:hint="eastAsia" w:ascii="仿宋_GB2312" w:hAnsi="仿宋_GB2312" w:eastAsia="仿宋_GB2312" w:cs="仿宋_GB2312"/>
          <w:sz w:val="24"/>
        </w:rPr>
        <w:t>负责结算，乙方开具合同总价数的全额发票交采购人。</w:t>
      </w:r>
    </w:p>
    <w:p w14:paraId="707051BC">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四、履行期限、地点及方式</w:t>
      </w:r>
      <w:bookmarkEnd w:id="3"/>
      <w:r>
        <w:rPr>
          <w:rFonts w:hint="eastAsia" w:ascii="仿宋_GB2312" w:hAnsi="仿宋_GB2312" w:eastAsia="仿宋_GB2312" w:cs="仿宋_GB2312"/>
          <w:sz w:val="24"/>
        </w:rPr>
        <w:t>：</w:t>
      </w:r>
    </w:p>
    <w:p w14:paraId="1FFC9DB3">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1、履行期限：自合同签订之日起至活动举办结束并验收完成</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活动因不可抗力延期举办的应当按照甲方要求延期时间实施</w:t>
      </w:r>
      <w:r>
        <w:rPr>
          <w:rFonts w:hint="eastAsia" w:ascii="仿宋_GB2312" w:hAnsi="仿宋_GB2312" w:eastAsia="仿宋_GB2312" w:cs="仿宋_GB2312"/>
          <w:sz w:val="24"/>
          <w:lang w:eastAsia="zh-CN"/>
        </w:rPr>
        <w:t>）</w:t>
      </w:r>
      <w:r>
        <w:rPr>
          <w:rFonts w:hint="eastAsia" w:ascii="仿宋_GB2312" w:hAnsi="仿宋_GB2312" w:eastAsia="仿宋_GB2312" w:cs="仿宋_GB2312"/>
          <w:color w:val="auto"/>
          <w:sz w:val="24"/>
        </w:rPr>
        <w:t>。</w:t>
      </w:r>
    </w:p>
    <w:p w14:paraId="393A8E01">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2、地点：采购指定地点</w:t>
      </w:r>
    </w:p>
    <w:p w14:paraId="16669C20">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3、方式：采购人指定方式</w:t>
      </w:r>
    </w:p>
    <w:p w14:paraId="79803058">
      <w:pPr>
        <w:adjustRightInd w:val="0"/>
        <w:snapToGrid w:val="0"/>
        <w:spacing w:line="360" w:lineRule="auto"/>
        <w:ind w:firstLine="480" w:firstLineChars="200"/>
        <w:rPr>
          <w:rFonts w:hint="eastAsia" w:ascii="仿宋_GB2312" w:hAnsi="仿宋_GB2312" w:eastAsia="仿宋_GB2312" w:cs="仿宋_GB2312"/>
          <w:sz w:val="24"/>
        </w:rPr>
      </w:pPr>
      <w:bookmarkStart w:id="4" w:name="_Toc19515390"/>
      <w:r>
        <w:rPr>
          <w:rFonts w:hint="eastAsia" w:ascii="仿宋_GB2312" w:hAnsi="仿宋_GB2312" w:eastAsia="仿宋_GB2312" w:cs="仿宋_GB2312"/>
          <w:sz w:val="24"/>
        </w:rPr>
        <w:t>五、技术服务</w:t>
      </w:r>
      <w:bookmarkEnd w:id="4"/>
    </w:p>
    <w:p w14:paraId="45CB8D10">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1、对技术服务的要求：详见磋商文件第</w:t>
      </w:r>
      <w:r>
        <w:rPr>
          <w:rFonts w:hint="eastAsia" w:ascii="仿宋_GB2312" w:hAnsi="仿宋_GB2312" w:eastAsia="仿宋_GB2312" w:cs="仿宋_GB2312"/>
          <w:sz w:val="24"/>
          <w:lang w:val="en-US" w:eastAsia="zh-CN"/>
        </w:rPr>
        <w:t>三</w:t>
      </w:r>
      <w:r>
        <w:rPr>
          <w:rFonts w:hint="eastAsia" w:ascii="仿宋_GB2312" w:hAnsi="仿宋_GB2312" w:eastAsia="仿宋_GB2312" w:cs="仿宋_GB2312"/>
          <w:sz w:val="24"/>
        </w:rPr>
        <w:t>章磋商项目技术、服务、商务及其他要求</w:t>
      </w:r>
    </w:p>
    <w:p w14:paraId="2CEF8AA3">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2、技术资料：详见磋商文件第</w:t>
      </w:r>
      <w:r>
        <w:rPr>
          <w:rFonts w:hint="eastAsia" w:ascii="仿宋_GB2312" w:hAnsi="仿宋_GB2312" w:eastAsia="仿宋_GB2312" w:cs="仿宋_GB2312"/>
          <w:sz w:val="24"/>
          <w:lang w:val="en-US" w:eastAsia="zh-CN"/>
        </w:rPr>
        <w:t>三</w:t>
      </w:r>
      <w:r>
        <w:rPr>
          <w:rFonts w:hint="eastAsia" w:ascii="仿宋_GB2312" w:hAnsi="仿宋_GB2312" w:eastAsia="仿宋_GB2312" w:cs="仿宋_GB2312"/>
          <w:sz w:val="24"/>
        </w:rPr>
        <w:t>章磋商项目技术、服务、商务及其他要求</w:t>
      </w:r>
    </w:p>
    <w:p w14:paraId="7CA6514C">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3、技术培训：详见磋商文件第</w:t>
      </w:r>
      <w:r>
        <w:rPr>
          <w:rFonts w:hint="eastAsia" w:ascii="仿宋_GB2312" w:hAnsi="仿宋_GB2312" w:eastAsia="仿宋_GB2312" w:cs="仿宋_GB2312"/>
          <w:sz w:val="24"/>
          <w:lang w:val="en-US" w:eastAsia="zh-CN"/>
        </w:rPr>
        <w:t>三</w:t>
      </w:r>
      <w:r>
        <w:rPr>
          <w:rFonts w:hint="eastAsia" w:ascii="仿宋_GB2312" w:hAnsi="仿宋_GB2312" w:eastAsia="仿宋_GB2312" w:cs="仿宋_GB2312"/>
          <w:sz w:val="24"/>
        </w:rPr>
        <w:t>章磋商项目技术、服务、商务及其他要求</w:t>
      </w:r>
    </w:p>
    <w:p w14:paraId="1389D8C2">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3-1、培训内容：双方约定</w:t>
      </w:r>
    </w:p>
    <w:p w14:paraId="2A4D3F9A">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3-2、培训地点：双方约定</w:t>
      </w:r>
    </w:p>
    <w:p w14:paraId="708DC877">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3-3、培训时间：双方约定</w:t>
      </w:r>
    </w:p>
    <w:p w14:paraId="0A506F0D">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3-4、培训人数：双方约定</w:t>
      </w:r>
    </w:p>
    <w:p w14:paraId="4AC0F5E7">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3-5、培训费用：受训人员的食宿费、资料费、培训场地费、耗材（包括水电费等）费等已包含在合同总价中，甲方不再另行支付。</w:t>
      </w:r>
    </w:p>
    <w:p w14:paraId="67A670E3">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4、售后服务</w:t>
      </w:r>
    </w:p>
    <w:p w14:paraId="7745A9B9">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4-1、乙方在接到甲方电话通知后在</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小时内派出合格的服务人员到达现场进行服务，承担相应费用。</w:t>
      </w:r>
    </w:p>
    <w:p w14:paraId="468D28AD">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4-2、如果乙方在收到通知后两天内没有弥补缺陷，甲方可采取必要的补救措施，但其风险和费用将由乙方承担，甲方根据合同规定对乙方行使的其它权力不受影响。</w:t>
      </w:r>
    </w:p>
    <w:p w14:paraId="305E421A">
      <w:pPr>
        <w:adjustRightInd w:val="0"/>
        <w:snapToGrid w:val="0"/>
        <w:spacing w:line="360" w:lineRule="auto"/>
        <w:ind w:firstLine="480" w:firstLineChars="200"/>
        <w:rPr>
          <w:rFonts w:hint="eastAsia" w:ascii="仿宋_GB2312" w:hAnsi="仿宋_GB2312" w:eastAsia="仿宋_GB2312" w:cs="仿宋_GB2312"/>
          <w:sz w:val="24"/>
        </w:rPr>
      </w:pPr>
      <w:bookmarkStart w:id="5" w:name="_Toc19515391"/>
      <w:r>
        <w:rPr>
          <w:rFonts w:hint="eastAsia" w:ascii="仿宋_GB2312" w:hAnsi="仿宋_GB2312" w:eastAsia="仿宋_GB2312" w:cs="仿宋_GB2312"/>
          <w:sz w:val="24"/>
        </w:rPr>
        <w:t>六、验收</w:t>
      </w:r>
      <w:bookmarkEnd w:id="5"/>
    </w:p>
    <w:p w14:paraId="2B1A9D56">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1、验收：乙方完成服务内容后，向甲方提出验收申请，甲方接到乙方验收申请后组织验收（必要时可聘请相应专家或委托相应部门验收），验收合格后，出具使用验收合格证明。</w:t>
      </w:r>
    </w:p>
    <w:p w14:paraId="3712C76E">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2、最终验收：最终验收结果作为付款依据，乙方填写验收单，并向甲方提交实施过程中的所有资料，以便甲方日后管理和维护。</w:t>
      </w:r>
    </w:p>
    <w:p w14:paraId="6679A2F9">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3、质保期满后：由乙方出具质保期运行质量报告，若存在质量问题，应按相应规定协商处理。</w:t>
      </w:r>
    </w:p>
    <w:p w14:paraId="636E0664">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4、验收依据：</w:t>
      </w:r>
    </w:p>
    <w:p w14:paraId="0EF825AA">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4-1、合同文本、合同附件、竞争性磋商文件、成交供应商的响应文件。</w:t>
      </w:r>
    </w:p>
    <w:p w14:paraId="60C99D7C">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4-2、国内相应的标准、规范。</w:t>
      </w:r>
    </w:p>
    <w:p w14:paraId="31AB76C3">
      <w:pPr>
        <w:adjustRightInd w:val="0"/>
        <w:snapToGrid w:val="0"/>
        <w:spacing w:line="360" w:lineRule="auto"/>
        <w:ind w:firstLine="480" w:firstLineChars="200"/>
        <w:rPr>
          <w:rFonts w:hint="eastAsia" w:ascii="仿宋_GB2312" w:hAnsi="仿宋_GB2312" w:eastAsia="仿宋_GB2312" w:cs="仿宋_GB2312"/>
          <w:sz w:val="24"/>
        </w:rPr>
      </w:pPr>
      <w:bookmarkStart w:id="6" w:name="_Toc19515392"/>
      <w:r>
        <w:rPr>
          <w:rFonts w:hint="eastAsia" w:ascii="仿宋_GB2312" w:hAnsi="仿宋_GB2312" w:eastAsia="仿宋_GB2312" w:cs="仿宋_GB2312"/>
          <w:sz w:val="24"/>
        </w:rPr>
        <w:t>七、违约责任</w:t>
      </w:r>
      <w:bookmarkEnd w:id="6"/>
    </w:p>
    <w:p w14:paraId="19F7F314">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1、按《中华人民共和国民法典》中的相关条款执行。</w:t>
      </w:r>
    </w:p>
    <w:p w14:paraId="583510BE">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2、乙方履约延误</w:t>
      </w:r>
    </w:p>
    <w:p w14:paraId="06D037FF">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2-1、如乙方事先未征得甲方同意并得到甲方的谅解而单方面延迟执行合同，将按违约终止合同。</w:t>
      </w:r>
    </w:p>
    <w:p w14:paraId="7D00E57C">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%）计收，直至提供服务为止。误期赔偿费的最高限额为合同价格的</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%）。一旦达到误期赔偿费的最高限额，甲方可终止合同。</w:t>
      </w:r>
    </w:p>
    <w:p w14:paraId="2670BA90">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3、违约终止合同：未按合同要求提供服务或不能满足技术要求，甲方会同监督机构有权终止合同，对乙方违约行为进行追究，同时按政府采购法的有关规定进行相应的处罚。</w:t>
      </w:r>
    </w:p>
    <w:p w14:paraId="4DB1EB2C">
      <w:pPr>
        <w:adjustRightInd w:val="0"/>
        <w:snapToGrid w:val="0"/>
        <w:spacing w:line="360" w:lineRule="auto"/>
        <w:ind w:firstLine="480" w:firstLineChars="200"/>
        <w:rPr>
          <w:rFonts w:hint="eastAsia" w:ascii="仿宋_GB2312" w:hAnsi="仿宋_GB2312" w:eastAsia="仿宋_GB2312" w:cs="仿宋_GB2312"/>
          <w:sz w:val="24"/>
        </w:rPr>
      </w:pPr>
      <w:bookmarkStart w:id="7" w:name="_Toc19515393"/>
      <w:r>
        <w:rPr>
          <w:rFonts w:hint="eastAsia" w:ascii="仿宋_GB2312" w:hAnsi="仿宋_GB2312" w:eastAsia="仿宋_GB2312" w:cs="仿宋_GB2312"/>
          <w:sz w:val="24"/>
        </w:rPr>
        <w:t>九、合同组成</w:t>
      </w:r>
      <w:bookmarkEnd w:id="7"/>
    </w:p>
    <w:p w14:paraId="3D97CE0D">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1、成交通知书</w:t>
      </w:r>
    </w:p>
    <w:p w14:paraId="03C8A51D">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2、合同文件</w:t>
      </w:r>
    </w:p>
    <w:p w14:paraId="4372FB96">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3、国家相关规范及标准</w:t>
      </w:r>
    </w:p>
    <w:p w14:paraId="2D2A9038">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4、竞争性磋商文件</w:t>
      </w:r>
    </w:p>
    <w:p w14:paraId="54EB8F4E">
      <w:pPr>
        <w:adjustRightInd w:val="0"/>
        <w:snapToGrid w:val="0"/>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5、成交供应商的响应文件</w:t>
      </w:r>
    </w:p>
    <w:p w14:paraId="6BE590CE">
      <w:pPr>
        <w:adjustRightInd w:val="0"/>
        <w:snapToGrid w:val="0"/>
        <w:spacing w:line="360" w:lineRule="auto"/>
        <w:ind w:firstLine="480" w:firstLineChars="200"/>
        <w:rPr>
          <w:rFonts w:hint="eastAsia" w:ascii="仿宋_GB2312" w:hAnsi="仿宋_GB2312" w:eastAsia="仿宋_GB2312" w:cs="仿宋_GB2312"/>
          <w:sz w:val="24"/>
        </w:rPr>
      </w:pPr>
      <w:bookmarkStart w:id="8" w:name="_Toc19515394"/>
      <w:r>
        <w:rPr>
          <w:rFonts w:hint="eastAsia" w:ascii="仿宋_GB2312" w:hAnsi="仿宋_GB2312" w:eastAsia="仿宋_GB2312" w:cs="仿宋_GB2312"/>
          <w:sz w:val="24"/>
        </w:rPr>
        <w:t>十、解决争议的方法</w:t>
      </w:r>
      <w:bookmarkEnd w:id="8"/>
    </w:p>
    <w:p w14:paraId="60F11722">
      <w:pPr>
        <w:widowControl/>
        <w:autoSpaceDE w:val="0"/>
        <w:autoSpaceDN w:val="0"/>
        <w:snapToGrid w:val="0"/>
        <w:spacing w:line="360" w:lineRule="auto"/>
        <w:ind w:right="-110"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凡因本合同引起的或与本合同有关的争议，双方应友好协商解决。协商不成时，双方均同意采用以下第（</w:t>
      </w:r>
      <w:r>
        <w:rPr>
          <w:rFonts w:hint="eastAsia" w:ascii="仿宋_GB2312" w:hAnsi="仿宋_GB2312" w:eastAsia="仿宋_GB2312" w:cs="仿宋_GB2312"/>
          <w:kern w:val="0"/>
          <w:sz w:val="24"/>
          <w:lang w:val="en-US" w:eastAsia="zh-CN"/>
        </w:rPr>
        <w:t xml:space="preserve">  </w:t>
      </w:r>
      <w:r>
        <w:rPr>
          <w:rFonts w:hint="eastAsia" w:ascii="仿宋_GB2312" w:hAnsi="仿宋_GB2312" w:eastAsia="仿宋_GB2312" w:cs="仿宋_GB2312"/>
          <w:kern w:val="0"/>
          <w:sz w:val="24"/>
        </w:rPr>
        <w:t>）种争议解决方式：</w:t>
      </w:r>
    </w:p>
    <w:p w14:paraId="1C116D90">
      <w:pPr>
        <w:widowControl/>
        <w:autoSpaceDE w:val="0"/>
        <w:autoSpaceDN w:val="0"/>
        <w:snapToGrid w:val="0"/>
        <w:spacing w:line="360" w:lineRule="auto"/>
        <w:ind w:right="-110"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1、甲、乙双方均同意向（甲方所在地人民法院）提起诉讼。</w:t>
      </w:r>
      <w:bookmarkStart w:id="10" w:name="_GoBack"/>
      <w:bookmarkEnd w:id="10"/>
    </w:p>
    <w:p w14:paraId="63A4EA9A">
      <w:pPr>
        <w:widowControl/>
        <w:autoSpaceDE w:val="0"/>
        <w:autoSpaceDN w:val="0"/>
        <w:snapToGrid w:val="0"/>
        <w:spacing w:line="360" w:lineRule="auto"/>
        <w:ind w:right="-110"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2、甲、乙双方均同意向（</w:t>
      </w:r>
      <w:r>
        <w:rPr>
          <w:rFonts w:hint="eastAsia" w:ascii="仿宋_GB2312" w:hAnsi="仿宋_GB2312" w:eastAsia="仿宋_GB2312" w:cs="仿宋_GB2312"/>
        </w:rPr>
        <w:fldChar w:fldCharType="begin"/>
      </w:r>
      <w:r>
        <w:rPr>
          <w:rFonts w:hint="eastAsia" w:ascii="仿宋_GB2312" w:hAnsi="仿宋_GB2312" w:eastAsia="仿宋_GB2312" w:cs="仿宋_GB2312"/>
        </w:rPr>
        <w:instrText xml:space="preserve"> HYPERLINK "http://www.baidu.com/s?wd=%E4%BB%B2%E8%A3%81%E5%A7%94%E5%91%98%E4%BC%9A&amp;tn=SE_PcZhidaonwhc_ngpagmjz&amp;rsv_dl=gh_pc_zhidao" \t "_blank" </w:instrText>
      </w:r>
      <w:r>
        <w:rPr>
          <w:rFonts w:hint="eastAsia" w:ascii="仿宋_GB2312" w:hAnsi="仿宋_GB2312" w:eastAsia="仿宋_GB2312" w:cs="仿宋_GB2312"/>
        </w:rPr>
        <w:fldChar w:fldCharType="separate"/>
      </w:r>
      <w:r>
        <w:rPr>
          <w:rFonts w:hint="eastAsia" w:ascii="仿宋_GB2312" w:hAnsi="仿宋_GB2312" w:eastAsia="仿宋_GB2312" w:cs="仿宋_GB2312"/>
          <w:kern w:val="0"/>
          <w:sz w:val="24"/>
        </w:rPr>
        <w:t>仲裁委员会</w:t>
      </w:r>
      <w:r>
        <w:rPr>
          <w:rFonts w:hint="eastAsia" w:ascii="仿宋_GB2312" w:hAnsi="仿宋_GB2312" w:eastAsia="仿宋_GB2312" w:cs="仿宋_GB2312"/>
          <w:kern w:val="0"/>
          <w:sz w:val="24"/>
        </w:rPr>
        <w:fldChar w:fldCharType="end"/>
      </w:r>
      <w:r>
        <w:rPr>
          <w:rFonts w:hint="eastAsia" w:ascii="仿宋_GB2312" w:hAnsi="仿宋_GB2312" w:eastAsia="仿宋_GB2312" w:cs="仿宋_GB2312"/>
          <w:kern w:val="0"/>
          <w:sz w:val="24"/>
        </w:rPr>
        <w:t>）提起仲裁。</w:t>
      </w:r>
    </w:p>
    <w:p w14:paraId="48C9061D">
      <w:pPr>
        <w:adjustRightInd w:val="0"/>
        <w:snapToGrid w:val="0"/>
        <w:spacing w:line="360" w:lineRule="auto"/>
        <w:ind w:firstLine="480" w:firstLineChars="200"/>
        <w:rPr>
          <w:rFonts w:hint="eastAsia" w:ascii="仿宋_GB2312" w:hAnsi="仿宋_GB2312" w:eastAsia="仿宋_GB2312" w:cs="仿宋_GB2312"/>
          <w:sz w:val="24"/>
        </w:rPr>
      </w:pPr>
      <w:bookmarkStart w:id="9" w:name="_Toc19515395"/>
      <w:r>
        <w:rPr>
          <w:rFonts w:hint="eastAsia" w:ascii="仿宋_GB2312" w:hAnsi="仿宋_GB2312" w:eastAsia="仿宋_GB2312" w:cs="仿宋_GB2312"/>
          <w:sz w:val="24"/>
        </w:rPr>
        <w:t>十一、合同生效及其它</w:t>
      </w:r>
      <w:bookmarkEnd w:id="9"/>
    </w:p>
    <w:p w14:paraId="62FC5D27">
      <w:pPr>
        <w:widowControl/>
        <w:autoSpaceDE w:val="0"/>
        <w:autoSpaceDN w:val="0"/>
        <w:snapToGrid w:val="0"/>
        <w:spacing w:line="360" w:lineRule="auto"/>
        <w:ind w:right="-110"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1、合同未尽事宜、由甲、乙双方协商，作为合同补充，与原合同具有同等法律效力。</w:t>
      </w:r>
    </w:p>
    <w:p w14:paraId="068E7A1D">
      <w:pPr>
        <w:widowControl/>
        <w:tabs>
          <w:tab w:val="left" w:pos="8391"/>
        </w:tabs>
        <w:autoSpaceDE w:val="0"/>
        <w:autoSpaceDN w:val="0"/>
        <w:snapToGrid w:val="0"/>
        <w:spacing w:line="360" w:lineRule="auto"/>
        <w:ind w:right="-69"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2、 本合同正本一式</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份，甲方、乙方双方分别执</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份，</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备案</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份。</w:t>
      </w:r>
    </w:p>
    <w:p w14:paraId="22EF4EF4">
      <w:pPr>
        <w:widowControl/>
        <w:tabs>
          <w:tab w:val="left" w:pos="8391"/>
        </w:tabs>
        <w:autoSpaceDE w:val="0"/>
        <w:autoSpaceDN w:val="0"/>
        <w:snapToGrid w:val="0"/>
        <w:spacing w:line="360" w:lineRule="auto"/>
        <w:ind w:right="-69"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3、合同经甲乙双方盖章、签字后生效，合同签订地点为</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w:t>
      </w:r>
    </w:p>
    <w:p w14:paraId="51B4A4C1">
      <w:pPr>
        <w:widowControl/>
        <w:tabs>
          <w:tab w:val="left" w:pos="8391"/>
        </w:tabs>
        <w:autoSpaceDE w:val="0"/>
        <w:autoSpaceDN w:val="0"/>
        <w:snapToGrid w:val="0"/>
        <w:spacing w:line="360" w:lineRule="auto"/>
        <w:ind w:right="-69" w:firstLine="480" w:firstLineChars="200"/>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4、生效时间：</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年</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月</w:t>
      </w:r>
      <w:r>
        <w:rPr>
          <w:rFonts w:hint="eastAsia" w:ascii="仿宋_GB2312" w:hAnsi="仿宋_GB2312" w:eastAsia="仿宋_GB2312" w:cs="仿宋_GB2312"/>
          <w:kern w:val="0"/>
          <w:sz w:val="24"/>
          <w:u w:val="single"/>
        </w:rPr>
        <w:t xml:space="preserve">  </w:t>
      </w:r>
      <w:r>
        <w:rPr>
          <w:rFonts w:hint="eastAsia" w:ascii="仿宋_GB2312" w:hAnsi="仿宋_GB2312" w:eastAsia="仿宋_GB2312" w:cs="仿宋_GB2312"/>
          <w:kern w:val="0"/>
          <w:sz w:val="24"/>
        </w:rPr>
        <w:t>日</w:t>
      </w:r>
    </w:p>
    <w:p w14:paraId="1A217035">
      <w:pPr>
        <w:widowControl/>
        <w:tabs>
          <w:tab w:val="left" w:pos="8391"/>
        </w:tabs>
        <w:autoSpaceDE w:val="0"/>
        <w:autoSpaceDN w:val="0"/>
        <w:snapToGrid w:val="0"/>
        <w:spacing w:line="360" w:lineRule="auto"/>
        <w:ind w:right="-69" w:firstLine="840" w:firstLineChars="350"/>
        <w:textAlignment w:val="bottom"/>
        <w:rPr>
          <w:rFonts w:hint="eastAsia" w:ascii="仿宋_GB2312" w:hAnsi="仿宋_GB2312" w:eastAsia="仿宋_GB2312" w:cs="仿宋_GB2312"/>
          <w:kern w:val="0"/>
          <w:sz w:val="24"/>
        </w:rPr>
      </w:pPr>
    </w:p>
    <w:tbl>
      <w:tblPr>
        <w:tblStyle w:val="4"/>
        <w:tblW w:w="0" w:type="auto"/>
        <w:jc w:val="center"/>
        <w:tblLayout w:type="fixed"/>
        <w:tblCellMar>
          <w:top w:w="0" w:type="dxa"/>
          <w:left w:w="108" w:type="dxa"/>
          <w:bottom w:w="0" w:type="dxa"/>
          <w:right w:w="108" w:type="dxa"/>
        </w:tblCellMar>
      </w:tblPr>
      <w:tblGrid>
        <w:gridCol w:w="4643"/>
        <w:gridCol w:w="4643"/>
      </w:tblGrid>
      <w:tr w14:paraId="424CCC3A">
        <w:tblPrEx>
          <w:tblCellMar>
            <w:top w:w="0" w:type="dxa"/>
            <w:left w:w="108" w:type="dxa"/>
            <w:bottom w:w="0" w:type="dxa"/>
            <w:right w:w="108" w:type="dxa"/>
          </w:tblCellMar>
        </w:tblPrEx>
        <w:trPr>
          <w:jc w:val="center"/>
        </w:trPr>
        <w:tc>
          <w:tcPr>
            <w:tcW w:w="4643" w:type="dxa"/>
          </w:tcPr>
          <w:p w14:paraId="0FDA70E8">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甲方名称</w:t>
            </w:r>
            <w:r>
              <w:rPr>
                <w:rFonts w:hint="eastAsia" w:ascii="仿宋_GB2312" w:hAnsi="仿宋_GB2312" w:eastAsia="仿宋_GB2312" w:cs="仿宋_GB2312"/>
                <w:spacing w:val="-20"/>
                <w:kern w:val="0"/>
                <w:sz w:val="24"/>
              </w:rPr>
              <w:t>（盖章）</w:t>
            </w:r>
            <w:r>
              <w:rPr>
                <w:rFonts w:hint="eastAsia" w:ascii="仿宋_GB2312" w:hAnsi="仿宋_GB2312" w:eastAsia="仿宋_GB2312" w:cs="仿宋_GB2312"/>
                <w:kern w:val="0"/>
                <w:sz w:val="24"/>
              </w:rPr>
              <w:t>：</w:t>
            </w:r>
          </w:p>
          <w:p w14:paraId="4A2A2AFB">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地址：</w:t>
            </w:r>
          </w:p>
          <w:p w14:paraId="4EBFA996">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代表人（签字）：</w:t>
            </w:r>
          </w:p>
          <w:p w14:paraId="29D9C77F">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电话：</w:t>
            </w:r>
          </w:p>
          <w:p w14:paraId="22C70B1C">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开户银行：</w:t>
            </w:r>
          </w:p>
          <w:p w14:paraId="4901FEF2">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账号：</w:t>
            </w:r>
          </w:p>
        </w:tc>
        <w:tc>
          <w:tcPr>
            <w:tcW w:w="4643" w:type="dxa"/>
          </w:tcPr>
          <w:p w14:paraId="6C9E7895">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乙方名称</w:t>
            </w:r>
            <w:r>
              <w:rPr>
                <w:rFonts w:hint="eastAsia" w:ascii="仿宋_GB2312" w:hAnsi="仿宋_GB2312" w:eastAsia="仿宋_GB2312" w:cs="仿宋_GB2312"/>
                <w:spacing w:val="-20"/>
                <w:kern w:val="0"/>
                <w:sz w:val="24"/>
              </w:rPr>
              <w:t>（盖章）</w:t>
            </w:r>
            <w:r>
              <w:rPr>
                <w:rFonts w:hint="eastAsia" w:ascii="仿宋_GB2312" w:hAnsi="仿宋_GB2312" w:eastAsia="仿宋_GB2312" w:cs="仿宋_GB2312"/>
                <w:kern w:val="0"/>
                <w:sz w:val="24"/>
              </w:rPr>
              <w:t>：</w:t>
            </w:r>
          </w:p>
          <w:p w14:paraId="1684D0D6">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地址：</w:t>
            </w:r>
          </w:p>
          <w:p w14:paraId="004C5A04">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代表人（签字）：</w:t>
            </w:r>
          </w:p>
          <w:p w14:paraId="0C260EBE">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电话：</w:t>
            </w:r>
          </w:p>
          <w:p w14:paraId="2B1046D9">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开户银行：</w:t>
            </w:r>
          </w:p>
          <w:p w14:paraId="2A7AC10D">
            <w:pPr>
              <w:widowControl/>
              <w:autoSpaceDE w:val="0"/>
              <w:autoSpaceDN w:val="0"/>
              <w:snapToGrid w:val="0"/>
              <w:spacing w:line="360" w:lineRule="auto"/>
              <w:ind w:right="-154"/>
              <w:textAlignment w:val="bottom"/>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账号：</w:t>
            </w:r>
          </w:p>
        </w:tc>
      </w:tr>
    </w:tbl>
    <w:p w14:paraId="0D816D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06E12"/>
    <w:multiLevelType w:val="singleLevel"/>
    <w:tmpl w:val="91F06E1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A3596"/>
    <w:rsid w:val="03CD0398"/>
    <w:rsid w:val="087F780C"/>
    <w:rsid w:val="09624990"/>
    <w:rsid w:val="09FD0EA9"/>
    <w:rsid w:val="14121C63"/>
    <w:rsid w:val="292957C6"/>
    <w:rsid w:val="29AD7CDA"/>
    <w:rsid w:val="2B8D373E"/>
    <w:rsid w:val="2F7E3000"/>
    <w:rsid w:val="412412DC"/>
    <w:rsid w:val="4E7D6F48"/>
    <w:rsid w:val="53F85027"/>
    <w:rsid w:val="5DAF116F"/>
    <w:rsid w:val="60265BA5"/>
    <w:rsid w:val="78D87374"/>
    <w:rsid w:val="7AA31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1799</Words>
  <Characters>1826</Characters>
  <Lines>0</Lines>
  <Paragraphs>0</Paragraphs>
  <TotalTime>0</TotalTime>
  <ScaleCrop>false</ScaleCrop>
  <LinksUpToDate>false</LinksUpToDate>
  <CharactersWithSpaces>1888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2026-07-30T03:21:00Z</dcterms:created>
  <dc:creator>Administrator</dc:creator>
  <cp:lastModifiedBy>赵锦天</cp:lastModifiedBy>
  <dcterms:modified xsi:type="dcterms:W3CDTF">2026-08-19T03:05:22Z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eyJoZGlkIjoiMDNmMDQ2YTU0OGNhNDE5YzU1ODBlZWYxZmI0N2JlNjYiLCJ1c2VySWQiOiIxMTcyNDcyOSJ9</vt:lpwstr>
  </property>
  <property fmtid="{D5CDD505-2E9C-101B-9397-08002B2CF9AE}" pid="4" name="ICV">
    <vt:lpwstr>F6F54C0B221742FFB5AEE00E3ECCB739_12</vt:lpwstr>
  </property>
</Properties>
</file>