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版本号：SGLQ-202606020260812001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2026财务专项审计服务项目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SGLQ-2026060</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2026财务专项审计服务项目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2026财务专项审计服务项目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2026财务专项审计服务，为分局案件侦办提供全流程财务专项审计服务，具体内容详见竞争性磋商文件。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采购包1（2026财务专项审计服务项目）：属于专门面向中小企业采购。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书：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3、审计报告/资信证明：提供2025年度经审计的财务审计报告或其开标前六个月内基本存款账户开户银行出具的资信证明</w:t>
      </w:r>
    </w:p>
    <w:p>
      <w:pPr>
        <w:pStyle w:val="null3"/>
      </w:pPr>
      <w:r>
        <w:rPr>
          <w:rFonts w:ascii="仿宋_GB2312" w:hAnsi="仿宋_GB2312" w:cs="仿宋_GB2312" w:eastAsia="仿宋_GB2312"/>
        </w:rPr>
        <w:t>4、社会保险参保缴费情况：提供2026年1月至今已缴存的至少1个月的社会保障资金缴存单据或社保机构开具的社会保险参保缴费情况证明，依法不需要缴纳社会保障资金的单位应提供相关证明材料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5、纳税证明或完税证明：提供2026年1月至今已缴纳的至少1个月的纳税证明或完税证明，依法免税的单位应提供相关证明材料</w:t>
      </w:r>
    </w:p>
    <w:p>
      <w:pPr>
        <w:pStyle w:val="null3"/>
      </w:pPr>
      <w:r>
        <w:rPr>
          <w:rFonts w:ascii="仿宋_GB2312" w:hAnsi="仿宋_GB2312" w:cs="仿宋_GB2312" w:eastAsia="仿宋_GB2312"/>
        </w:rPr>
        <w:t>6、供应商信用记录书面声明函：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7、提供具有履行合同所必需的设备和专业技术能力的承诺书：提供具有履行合同所必需的设备和专业技术能力的承诺书</w:t>
      </w:r>
    </w:p>
    <w:p>
      <w:pPr>
        <w:pStyle w:val="null3"/>
      </w:pPr>
      <w:r>
        <w:rPr>
          <w:rFonts w:ascii="仿宋_GB2312" w:hAnsi="仿宋_GB2312" w:cs="仿宋_GB2312" w:eastAsia="仿宋_GB2312"/>
        </w:rPr>
        <w:t>8、参加本次政府采购活动前三年内，在经营活动中没有重大违法记录声明：参加本次政府采购活动前三年内，在经营活动中没有重大违法记录声明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10、资质证书：供应商须提供省级财政部门颁发的处于有效期内的会计师事务所执业证书。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029-85232950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029-89667151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符合国家法律法规规定的合格标准、磋商文件的要求。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联系人：魏沙沙</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2026财务专项审计服务，为分局案件侦办提供全流程财务专项审计服务，具体内容详见竞争性磋商文件。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2026财务专项审计服务项目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标的名称：2026财务专项审计服务项目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为分局案件侦办提供全流程财务专项审计服务。</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、资料核查与账目梳理：对涉案单位/个人财务凭证、账簿、银行流水、合同、票据、电子数据等全面核验、整理、归档；建立清晰账目体系，形成可追溯工作底稿。</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、资金流向与涉案金额核定：核查资金来源、归集、转移、分配、使用轨迹，绘制资金流向图；核定涉案金额、损失金额、非法所得、追缴金额，形成量化结论。</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、涉案资产形成、转移、隐匿、减值或灭失情况；重大合同、虚假开票、资金回流、商业贿赂等舞弊行为、可能存在的账外账、“小金库”、关联方资金占用、电子账务数据与纸质凭证一致性及篡改痕迹。</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、财务专项审计报告出具：出具符合《司法会计鉴定规范》《公安机关办理刑事案件程序规定》的正式财务专项审计报告；报告签章齐全、依据充分、结论唯一，满足检察院、法院采信标准。</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、案件支撑与出庭配合：配合办案单位补充核查、数据复盘、证据固定；按要求出庭质证、接受询问、出具补充说明/修正意见。</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、成果交付与档案移交：交付审计报告、工作底稿、资金流向表、数据分析表、证据附件；纸质版+电子版同步移交，符合公安涉密档案管理要求。</w:t>
            </w:r>
          </w:p>
          <w:p>
            <w:pPr>
              <w:pStyle w:val="null3"/>
              <w:ind w:firstLine="482"/>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、应本着“独立、科学、真实、守法”的工作原则。服务标准，要以国家行业相关规定为准，服务期内如发生违反法律、法规，招标要求及投标承诺的行为，按照国家相关法律、法规规定执行。</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、拟投入工作的人员不得外聘，对所服务的每个具体的项目，均严格按照投标文件中拟定人员进行配备，所有拟定人员须固定，且相关人员须具有相应资格。</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、应严格遵守职业道德，执行行业制度以及投标文件中有关廉政的承诺，规范具体操作。</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、对于涉及国家秘密、商业秘密的审计项目或者事项，会计鉴定所审计人员参与审计时，应当严格保密管理。</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、执业证书：项目负责人为注册会计师，具有财务专项审计经验；单案配备不少于2名专职审计人员，未经采购人书面同意不得更换。</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、质量标准要求：遵循独立、客观、公正、科学、保密原则，数据真实、账证相符、依据充分；报告无虚假记载、误导性陈述、重大遗漏，可通过复检、质证、庭审审查。</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、时效响应要求</w:t>
            </w:r>
          </w:p>
          <w:p>
            <w:pPr>
              <w:pStyle w:val="null3"/>
              <w:ind w:firstLine="480"/>
              <w:jc w:val="left"/>
            </w:pPr>
            <w:r>
              <w:rPr>
                <w:rFonts w:ascii="仿宋_GB2312" w:hAnsi="仿宋_GB2312" w:cs="仿宋_GB2312" w:eastAsia="仿宋_GB2312"/>
                <w:sz w:val="24"/>
              </w:rPr>
              <w:t>一般案件：7个工作日内出具初稿，15个工作日内完成终稿；</w:t>
            </w:r>
          </w:p>
          <w:p>
            <w:pPr>
              <w:pStyle w:val="null3"/>
              <w:ind w:firstLine="480"/>
              <w:jc w:val="left"/>
            </w:pPr>
            <w:r>
              <w:rPr>
                <w:rFonts w:ascii="仿宋_GB2312" w:hAnsi="仿宋_GB2312" w:cs="仿宋_GB2312" w:eastAsia="仿宋_GB2312"/>
                <w:sz w:val="24"/>
              </w:rPr>
              <w:t>重大/疑难案件：最长不超过45日历天；</w:t>
            </w:r>
          </w:p>
          <w:p>
            <w:pPr>
              <w:pStyle w:val="null3"/>
              <w:ind w:firstLine="480"/>
              <w:jc w:val="left"/>
            </w:pPr>
            <w:r>
              <w:rPr>
                <w:rFonts w:ascii="仿宋_GB2312" w:hAnsi="仿宋_GB2312" w:cs="仿宋_GB2312" w:eastAsia="仿宋_GB2312"/>
                <w:sz w:val="24"/>
              </w:rPr>
              <w:t>紧急任务：24小时内响应，48小时内进场，按指定时限完成。</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、保密安全要求：签订保密协议，严禁泄露案件信息、当事人信息、侦查措施、数据资料；电子数据加密存储，纸质资料专人保管，服务结束后按要求销毁/移交涉密材料；泄密承担法律责任与违约责任。</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、现场服务要求：实行驻场/随叫随到机制，配合办案节奏加班、外勤、调取资料；服从分局管理，遵守办案纪律与廉政规定。</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售后要求：根据西安市公安局提供的涉案相关资料，依据《中国注册会计师审计准则》《司法鉴定程序通则》以及《最高人民检察院公安部关于公安机关办理经济犯罪案件的若干规定》等相关规定，执行司法鉴定程序，出具司法鉴定意见书/财务专项审计报告。同时，在提请检察院、法院审理过程中，两院提出需要补充鉴定事项时，鉴定机构应全力配合免费完成补充鉴定，并最终通过检察院、法院审核。</w:t>
            </w:r>
          </w:p>
          <w:p>
            <w:pPr>
              <w:pStyle w:val="null3"/>
              <w:ind w:firstLine="480"/>
              <w:jc w:val="left"/>
            </w:pPr>
            <w:r>
              <w:rPr>
                <w:rFonts w:ascii="仿宋_GB2312" w:hAnsi="仿宋_GB2312" w:cs="仿宋_GB2312" w:eastAsia="仿宋_GB2312"/>
                <w:sz w:val="24"/>
              </w:rPr>
              <w:t>上述补充鉴定事项具体指以下几方面内容：</w:t>
            </w:r>
          </w:p>
          <w:p>
            <w:pPr>
              <w:pStyle w:val="null3"/>
              <w:ind w:firstLine="480"/>
              <w:jc w:val="left"/>
            </w:pPr>
            <w:r>
              <w:rPr>
                <w:rFonts w:ascii="仿宋_GB2312" w:hAnsi="仿宋_GB2312" w:cs="仿宋_GB2312" w:eastAsia="仿宋_GB2312"/>
                <w:sz w:val="24"/>
              </w:rPr>
              <w:t>案件新增报案人；</w:t>
            </w:r>
          </w:p>
          <w:p>
            <w:pPr>
              <w:pStyle w:val="null3"/>
              <w:ind w:firstLine="480"/>
              <w:jc w:val="left"/>
            </w:pPr>
            <w:r>
              <w:rPr>
                <w:rFonts w:ascii="仿宋_GB2312" w:hAnsi="仿宋_GB2312" w:cs="仿宋_GB2312" w:eastAsia="仿宋_GB2312"/>
                <w:sz w:val="24"/>
              </w:rPr>
              <w:t>案件新增嫌疑人；</w:t>
            </w:r>
          </w:p>
          <w:p>
            <w:pPr>
              <w:pStyle w:val="null3"/>
              <w:ind w:firstLine="480"/>
              <w:jc w:val="left"/>
            </w:pPr>
            <w:r>
              <w:rPr>
                <w:rFonts w:ascii="仿宋_GB2312" w:hAnsi="仿宋_GB2312" w:cs="仿宋_GB2312" w:eastAsia="仿宋_GB2312"/>
                <w:sz w:val="24"/>
              </w:rPr>
              <w:t>法院在案件审理中要求重新鉴定（如辩护律师提出嫌疑人涉案金额不准确需要重新计算）；</w:t>
            </w:r>
          </w:p>
          <w:p>
            <w:pPr>
              <w:pStyle w:val="null3"/>
              <w:ind w:firstLine="480"/>
              <w:jc w:val="left"/>
            </w:pPr>
            <w:r>
              <w:rPr>
                <w:rFonts w:ascii="仿宋_GB2312" w:hAnsi="仿宋_GB2312" w:cs="仿宋_GB2312" w:eastAsia="仿宋_GB2312"/>
                <w:sz w:val="24"/>
              </w:rPr>
              <w:t>报案人对审计鉴定结论有异议，提出新的审计证据或要求；</w:t>
            </w:r>
          </w:p>
          <w:p>
            <w:pPr>
              <w:pStyle w:val="null3"/>
              <w:ind w:firstLine="480"/>
              <w:jc w:val="left"/>
            </w:pPr>
            <w:r>
              <w:rPr>
                <w:rFonts w:ascii="仿宋_GB2312" w:hAnsi="仿宋_GB2312" w:cs="仿宋_GB2312" w:eastAsia="仿宋_GB2312"/>
                <w:sz w:val="24"/>
              </w:rPr>
              <w:t>合并起诉案件（外单位与我局相互移交案件，涉案金额发生变化需要补充鉴定）；</w:t>
            </w:r>
          </w:p>
          <w:p>
            <w:pPr>
              <w:pStyle w:val="null3"/>
              <w:ind w:firstLine="480"/>
              <w:jc w:val="left"/>
            </w:pPr>
            <w:r>
              <w:rPr>
                <w:rFonts w:ascii="仿宋_GB2312" w:hAnsi="仿宋_GB2312" w:cs="仿宋_GB2312" w:eastAsia="仿宋_GB2312"/>
                <w:sz w:val="24"/>
              </w:rPr>
              <w:t>其他情况需要补充鉴定。</w:t>
            </w:r>
          </w:p>
          <w:p>
            <w:pPr>
              <w:pStyle w:val="null3"/>
              <w:ind w:firstLine="482"/>
              <w:jc w:val="left"/>
            </w:pPr>
            <w:r>
              <w:rPr>
                <w:rFonts w:ascii="仿宋_GB2312" w:hAnsi="仿宋_GB2312" w:cs="仿宋_GB2312" w:eastAsia="仿宋_GB2312"/>
                <w:sz w:val="24"/>
                <w:b/>
              </w:rPr>
              <w:t>四、商务要求</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采购预算:1000000.00元</w:t>
            </w:r>
          </w:p>
          <w:p>
            <w:pPr>
              <w:pStyle w:val="null3"/>
              <w:ind w:firstLine="480"/>
              <w:jc w:val="left"/>
            </w:pPr>
            <w:r>
              <w:rPr>
                <w:rFonts w:ascii="仿宋_GB2312" w:hAnsi="仿宋_GB2312" w:cs="仿宋_GB2312" w:eastAsia="仿宋_GB2312"/>
                <w:sz w:val="24"/>
              </w:rPr>
              <w:t>4.2.</w:t>
            </w:r>
            <w:r>
              <w:rPr>
                <w:rFonts w:ascii="仿宋_GB2312" w:hAnsi="仿宋_GB2312" w:cs="仿宋_GB2312" w:eastAsia="仿宋_GB2312"/>
                <w:sz w:val="24"/>
              </w:rPr>
              <w:t>服务期:一年/达到采购预算金额，合同自动失效（若中途预算用尽，已受理未办结案件服务商须免费完成全部审计、出庭、补充鉴定，不得中途停止服务）。</w:t>
            </w:r>
          </w:p>
          <w:p>
            <w:pPr>
              <w:pStyle w:val="null3"/>
              <w:ind w:firstLine="480"/>
              <w:jc w:val="left"/>
            </w:pPr>
            <w:r>
              <w:rPr>
                <w:rFonts w:ascii="仿宋_GB2312" w:hAnsi="仿宋_GB2312" w:cs="仿宋_GB2312" w:eastAsia="仿宋_GB2312"/>
                <w:sz w:val="24"/>
              </w:rPr>
              <w:t>4.3.</w:t>
            </w:r>
            <w:r>
              <w:rPr>
                <w:rFonts w:ascii="仿宋_GB2312" w:hAnsi="仿宋_GB2312" w:cs="仿宋_GB2312" w:eastAsia="仿宋_GB2312"/>
                <w:sz w:val="24"/>
              </w:rPr>
              <w:t>服务地点:采购人指定地点。</w:t>
            </w:r>
          </w:p>
          <w:p>
            <w:pPr>
              <w:pStyle w:val="null3"/>
              <w:ind w:firstLine="480"/>
              <w:jc w:val="left"/>
            </w:pPr>
            <w:r>
              <w:rPr>
                <w:rFonts w:ascii="仿宋_GB2312" w:hAnsi="仿宋_GB2312" w:cs="仿宋_GB2312" w:eastAsia="仿宋_GB2312"/>
                <w:sz w:val="24"/>
              </w:rPr>
              <w:t>4.4</w:t>
            </w:r>
            <w:r>
              <w:rPr>
                <w:rFonts w:ascii="仿宋_GB2312" w:hAnsi="仿宋_GB2312" w:cs="仿宋_GB2312" w:eastAsia="仿宋_GB2312"/>
                <w:sz w:val="24"/>
              </w:rPr>
              <w:t>付款方式：</w:t>
            </w:r>
          </w:p>
          <w:p>
            <w:pPr>
              <w:pStyle w:val="null3"/>
              <w:ind w:firstLine="480"/>
              <w:jc w:val="left"/>
            </w:pPr>
            <w:r>
              <w:rPr>
                <w:rFonts w:ascii="仿宋_GB2312" w:hAnsi="仿宋_GB2312" w:cs="仿宋_GB2312" w:eastAsia="仿宋_GB2312"/>
                <w:sz w:val="24"/>
              </w:rPr>
              <w:t>4.4.1</w:t>
            </w:r>
            <w:r>
              <w:rPr>
                <w:rFonts w:ascii="仿宋_GB2312" w:hAnsi="仿宋_GB2312" w:cs="仿宋_GB2312" w:eastAsia="仿宋_GB2312"/>
                <w:sz w:val="24"/>
              </w:rPr>
              <w:t>结算方式：</w:t>
            </w:r>
          </w:p>
          <w:p>
            <w:pPr>
              <w:pStyle w:val="null3"/>
              <w:ind w:firstLine="480"/>
              <w:jc w:val="left"/>
            </w:pPr>
            <w:r>
              <w:rPr>
                <w:rFonts w:ascii="仿宋_GB2312" w:hAnsi="仿宋_GB2312" w:cs="仿宋_GB2312" w:eastAsia="仿宋_GB2312"/>
                <w:sz w:val="24"/>
              </w:rPr>
              <w:t>单个项目服务费计算：根据涉案金额，依据陕发改价格〔2019〕1453号文件按标准计算×下浮率</w:t>
            </w:r>
          </w:p>
          <w:p>
            <w:pPr>
              <w:pStyle w:val="null3"/>
              <w:ind w:firstLine="480"/>
              <w:jc w:val="left"/>
            </w:pPr>
            <w:r>
              <w:rPr>
                <w:rFonts w:ascii="仿宋_GB2312" w:hAnsi="仿宋_GB2312" w:cs="仿宋_GB2312" w:eastAsia="仿宋_GB2312"/>
                <w:sz w:val="24"/>
              </w:rPr>
              <w:t>4.4.2</w:t>
            </w:r>
            <w:r>
              <w:rPr>
                <w:rFonts w:ascii="仿宋_GB2312" w:hAnsi="仿宋_GB2312" w:cs="仿宋_GB2312" w:eastAsia="仿宋_GB2312"/>
                <w:sz w:val="24"/>
              </w:rPr>
              <w:t>付款流程：本项目无预付款，每季度按完成案件数量验收合格（出具案件验收单），乙方核算服务费用后向甲方提交付款申请并开具合法增值税服务发票，经甲方确认无误后，15个工作日内付清。</w:t>
            </w:r>
          </w:p>
          <w:p>
            <w:pPr>
              <w:pStyle w:val="null3"/>
              <w:ind w:firstLine="480"/>
              <w:jc w:val="left"/>
            </w:pPr>
            <w:r>
              <w:rPr>
                <w:rFonts w:ascii="仿宋_GB2312" w:hAnsi="仿宋_GB2312" w:cs="仿宋_GB2312" w:eastAsia="仿宋_GB2312"/>
                <w:sz w:val="24"/>
              </w:rPr>
              <w:t>4.4.3</w:t>
            </w:r>
            <w:r>
              <w:rPr>
                <w:rFonts w:ascii="仿宋_GB2312" w:hAnsi="仿宋_GB2312" w:cs="仿宋_GB2312" w:eastAsia="仿宋_GB2312"/>
                <w:sz w:val="24"/>
              </w:rPr>
              <w:t>紧急案件、重大疑难案件，根据案件难易程度、工作量、工作成本、时间与人员资质要求等因素，由甲乙双方友好协商，协商单价不得高于按文件标准测算金额。</w:t>
            </w:r>
          </w:p>
          <w:p>
            <w:pPr>
              <w:pStyle w:val="null3"/>
              <w:ind w:firstLine="480"/>
              <w:jc w:val="left"/>
            </w:pPr>
            <w:r>
              <w:rPr>
                <w:rFonts w:ascii="仿宋_GB2312" w:hAnsi="仿宋_GB2312" w:cs="仿宋_GB2312" w:eastAsia="仿宋_GB2312"/>
                <w:sz w:val="24"/>
              </w:rPr>
              <w:t>4.4.4</w:t>
            </w:r>
            <w:r>
              <w:rPr>
                <w:rFonts w:ascii="仿宋_GB2312" w:hAnsi="仿宋_GB2312" w:cs="仿宋_GB2312" w:eastAsia="仿宋_GB2312"/>
                <w:sz w:val="24"/>
              </w:rPr>
              <w:t>紧急案件：涉维稳、追赃挽损、羁押期限临近、检察院退查要求限期补证；</w:t>
            </w:r>
          </w:p>
          <w:p>
            <w:pPr>
              <w:pStyle w:val="null3"/>
              <w:ind w:firstLine="480"/>
              <w:jc w:val="left"/>
            </w:pPr>
            <w:r>
              <w:rPr>
                <w:rFonts w:ascii="仿宋_GB2312" w:hAnsi="仿宋_GB2312" w:cs="仿宋_GB2312" w:eastAsia="仿宋_GB2312"/>
                <w:sz w:val="24"/>
              </w:rPr>
              <w:t>4.4.5</w:t>
            </w:r>
            <w:r>
              <w:rPr>
                <w:rFonts w:ascii="仿宋_GB2312" w:hAnsi="仿宋_GB2312" w:cs="仿宋_GB2312" w:eastAsia="仿宋_GB2312"/>
                <w:sz w:val="24"/>
              </w:rPr>
              <w:t>重大疑难案件：涉案金额500万元以上、多关联企业、账外账 / 多层资金回流、数十名涉案人员、跨区域资金流转；</w:t>
            </w:r>
          </w:p>
          <w:p>
            <w:pPr>
              <w:pStyle w:val="null3"/>
              <w:ind w:firstLine="480"/>
              <w:jc w:val="left"/>
            </w:pPr>
            <w:r>
              <w:rPr>
                <w:rFonts w:ascii="仿宋_GB2312" w:hAnsi="仿宋_GB2312" w:cs="仿宋_GB2312" w:eastAsia="仿宋_GB2312"/>
                <w:sz w:val="24"/>
              </w:rPr>
              <w:t>4.5.</w:t>
            </w:r>
            <w:r>
              <w:rPr>
                <w:rFonts w:ascii="仿宋_GB2312" w:hAnsi="仿宋_GB2312" w:cs="仿宋_GB2312" w:eastAsia="仿宋_GB2312"/>
                <w:sz w:val="24"/>
              </w:rPr>
              <w:t>合同履约：中标人在收到中标通知书30日历天内签订合同；不允许转包、违法分包，违者按违约处理。</w:t>
            </w:r>
          </w:p>
          <w:p>
            <w:pPr>
              <w:pStyle w:val="null3"/>
              <w:ind w:firstLine="480"/>
              <w:jc w:val="left"/>
            </w:pPr>
            <w:r>
              <w:rPr>
                <w:rFonts w:ascii="仿宋_GB2312" w:hAnsi="仿宋_GB2312" w:cs="仿宋_GB2312" w:eastAsia="仿宋_GB2312"/>
                <w:sz w:val="24"/>
              </w:rPr>
              <w:t>4.6.</w:t>
            </w:r>
            <w:r>
              <w:rPr>
                <w:rFonts w:ascii="仿宋_GB2312" w:hAnsi="仿宋_GB2312" w:cs="仿宋_GB2312" w:eastAsia="仿宋_GB2312"/>
                <w:sz w:val="24"/>
              </w:rPr>
              <w:t>廉政要求：严禁商业贿赂、利益输送、违规宴请、礼品礼金；违反者终止合同、列入黑名单、追究责任。</w:t>
            </w:r>
          </w:p>
          <w:p>
            <w:pPr>
              <w:pStyle w:val="null3"/>
              <w:ind w:firstLine="480"/>
              <w:jc w:val="left"/>
            </w:pPr>
            <w:r>
              <w:rPr>
                <w:rFonts w:ascii="仿宋_GB2312" w:hAnsi="仿宋_GB2312" w:cs="仿宋_GB2312" w:eastAsia="仿宋_GB2312"/>
                <w:sz w:val="24"/>
              </w:rPr>
              <w:t>4.7.</w:t>
            </w:r>
            <w:r>
              <w:rPr>
                <w:rFonts w:ascii="仿宋_GB2312" w:hAnsi="仿宋_GB2312" w:cs="仿宋_GB2312" w:eastAsia="仿宋_GB2312"/>
                <w:sz w:val="24"/>
              </w:rPr>
              <w:t>知识产权与权属全部成果（报告、底稿、数据、图表）知识产权归采购人所有；供应商不得擅自使用、泄露、外传。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依据服务内容、服务要求、商务要求等情况合理配备。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依据服务内容、服务要求、商务要求等情况合理配备。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一年/达到采购预算金额，合同自动失效（若中途预算用尽，已受理未办结案件服务商须免费完成全部审计、出庭、补充鉴定，不得中途停止服务）。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符合国家法律法规规定的合格标准、磋商文件的要求。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季度按完成案件数量验收合格（出具案件验收单），乙方核算服务费用后向甲方提交付款申请并开具合法增值税服务发票，经甲方确认无误后，15个工作日内付清。，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每季度按完成案件数量验收合格（出具案件验收单），乙方核算服务费用后向甲方提交付款申请并开具合法增值税服务发票，经甲方确认无误后，15个工作日内付清。，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每季度按完成案件数量验收合格（出具案件验收单），乙方核算服务费用后向甲方提交付款申请并开具合法增值税服务发票，经甲方确认无误后，15个工作日内付清。，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每季度按完成案件数量验收合格（出具案件验收单），乙方核算服务费用后向甲方提交付款申请并开具合法增值税服务发票，经甲方确认无误后，15个工作日内付清。，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合同执行中发生争议的，当事人双方应协商解决，协商达不成一致时，有权向甲方住所地人民法院提起诉讼。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审计报告/资信证明</w:t>
            </w:r>
          </w:p>
        </w:tc>
        <w:tc>
          <w:tcPr>
            <w:tcW w:type="dxa" w:w="3322"/>
          </w:tcPr>
          <w:p>
            <w:pPr>
              <w:pStyle w:val="null3"/>
            </w:pPr>
            <w:r>
              <w:rPr>
                <w:rFonts w:ascii="仿宋_GB2312" w:hAnsi="仿宋_GB2312" w:cs="仿宋_GB2312" w:eastAsia="仿宋_GB2312"/>
              </w:rPr>
              <w:t>提供2025年度经审计的财务审计报告或其开标前六个月内基本存款账户开户银行出具的资信证明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社会保险参保缴费情况</w:t>
            </w:r>
          </w:p>
        </w:tc>
        <w:tc>
          <w:tcPr>
            <w:tcW w:type="dxa" w:w="3322"/>
          </w:tcPr>
          <w:p>
            <w:pPr>
              <w:pStyle w:val="null3"/>
            </w:pPr>
            <w:r>
              <w:rPr>
                <w:rFonts w:ascii="仿宋_GB2312" w:hAnsi="仿宋_GB2312" w:cs="仿宋_GB2312" w:eastAsia="仿宋_GB2312"/>
              </w:rPr>
              <w:t>提供2026年1月至今已缴存的至少1个月的社会保障资金缴存单据或社保机构开具的社会保险参保缴费情况证明，依法不需要缴纳社会保障资金的单位应提供相关证明材料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提供2026年1月至今已缴纳的至少1个月的纳税证明或完税证明，依法免税的单位应提供相关证明材料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参加本次政府采购活动前三年内，在经营活动中没有重大违法记录声明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供应商须提供省级财政部门颁发的处于有效期内的会计师事务所执业证书。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法定代表人证明书及委托书.docx 供应商应提交的相关资格证明材料 服务内容及服务要求应答表 报价表 响应文件封面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评审内容:根据供应商针对本项目的理解分析，各部分内容全面详细、 阐述条理清晰详尽、符合磋商文件要求。方案内容包含①项目背景及现状分析；②相关标准及规范；③重难点分析。 评审标准:上述每项方案内容无缺陷得2分，满分为6分。方案内容每存在1处缺陷：扣 0.5分，扣完为止； （评审内容中的缺陷是指:内容不完整或缺少关 键点、内容描述过于简单、条理不清晰、非专门针对本项目或不适用 本项目特性、套用其他项目内容；对同一问题前后表述矛盾；存在逻 辑漏洞、科学原理或常识错误；不利于本项目目标的实现、现有技术 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评审内容:根据供应商针对本项目的审计实施方案，各部分内容全面详细、阐述条理清晰详尽、符合磋商文件要求。方案内容包含①审计工作目标；②执行要求；③工作范围；④审计流程及方法；⑤审计制度；⑥审计内容；⑦项目报告编制及成果资料提交。 评审标准:上述 每项方案内容无缺陷得2分，满分为14分。方案内容每存在1处缺 陷：扣0.5分，扣完为止；（评审内容中的缺陷是指:内容不完整或 缺少关键点、内容描述过于简单、条理不清晰、非专门针对本项目或 不适用本项目特性、套用其他项目内容；对同一问题前后表述矛盾； 存在逻辑漏洞、科学原理或常识错误；不利于本项目目标的实现、现 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评审内容:根据供应商针对本项目的审计工作质量控制方案，各部分内容全面详细、阐述条理清晰详尽、符合磋商文件要求。方案内容包 含①内部控制机制；②质量问题分析；③保障措施及达到目标。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 表述矛盾；存在逻辑漏洞、科学原理或常识错误；不利于本项目目标 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评审内容:根据供应商针对本项目的服务进度和管控措施，各部分内 容全面详细、阐述条理清晰详尽、符合磋商文件要求。方案内容包含 ①进度计划；②工作部署；③各阶段实施流程；④进度保障措施。 评审标准:上述每项方案内容无缺陷得2分，满分为8分。方案内容 每存在1处缺陷：扣0.5分，扣完为止；（评审内容中的缺陷是指: 内容不完整或缺少关键点、内容描述过于简单、条理不清晰、非专门 针对本项目或不适用本项目特性、套用其他项目内容；对同一问题前 后表述矛盾；存在逻辑漏洞、科学原理或常识错误；不利于本项目目 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廉洁从业和保密措施</w:t>
            </w:r>
          </w:p>
        </w:tc>
        <w:tc>
          <w:tcPr>
            <w:tcW w:type="dxa" w:w="2492"/>
          </w:tcPr>
          <w:p>
            <w:pPr>
              <w:pStyle w:val="null3"/>
            </w:pPr>
            <w:r>
              <w:rPr>
                <w:rFonts w:ascii="仿宋_GB2312" w:hAnsi="仿宋_GB2312" w:cs="仿宋_GB2312" w:eastAsia="仿宋_GB2312"/>
              </w:rPr>
              <w:t>评审内容:根据供应商针对本项目的保密方案，各部分内容全面详细、 阐述条理清晰详尽、符合磋商文件要求。方案内容包含①廉洁从业保障措施；②保密制度及保密措施；③出具廉洁及保密书面承诺。 评审标准:上述每项方案内容无缺陷得2分，满分为6分。方案内容每 存在1处缺陷：扣0.5分，扣完为止；（评审内容中的缺陷是指:内容 不完整或缺少关键点、内容描述过于简单、条理不清晰、非专门针对 本项目或不适用本项目特性、套用其他项目内容；对同一问题前后表 述矛盾；存在逻辑漏洞、科学原理或常识错误；不利于本项目目标的 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供应商提供加盖公章的内部管理制度文件，包含①业务质量控制制度、②复核制度、③业务档案管理制度，每提供一项制度得3分，满分9分，未提供不得分。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供应商针对本项目出具加盖公章的专项服务承诺函，完整响应以下全 部承诺内容： ①接受采购人考核、监督并持续优化服务； ②上岗人员固定，不随意更换，若出现服务人员因事、病等不能工作的，能及时调整其他服务人员补充，确保服务工作的正常进行； ③人员缺位可及时替补保障服务不间断； 全部承诺齐全得9分，缺少任意一项扣3分，未提供承诺函得0分。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1.项目负责人须持有注册会计师执业证书且注册于本单位。具备高级职称得5分，具备中级职称得3分，未提供有效职称证明材料不得分。 需附加盖公章的职称证书复印件。 2.项目负责人近三年（2023年6月至今）已完成行政或事业单位审计类业绩，每份有效业绩得1分，满分5分；业绩材料为加盖公章的合同或成果文件复印件，相关材料须载明项目负责人姓名。 （注：项目负责人业绩与企业业绩不可重复计算）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w:t>
            </w:r>
          </w:p>
        </w:tc>
        <w:tc>
          <w:tcPr>
            <w:tcW w:type="dxa" w:w="2492"/>
          </w:tcPr>
          <w:p>
            <w:pPr>
              <w:pStyle w:val="null3"/>
            </w:pPr>
            <w:r>
              <w:rPr>
                <w:rFonts w:ascii="仿宋_GB2312" w:hAnsi="仿宋_GB2312" w:cs="仿宋_GB2312" w:eastAsia="仿宋_GB2312"/>
              </w:rPr>
              <w:t>除项目负责人外，审计人员每增加一名注册会计师资格证书，得1分， 每增加1名中级及以上职称证书，得1分。本项满分12分。 注：上述人员必须为本单位在职人员且在本单位注册，提供相关人员证书的复印件并加盖公章，且须同时提供相应人员自近半年以来任意 1个月的社保缴纳证明并加盖公章。 （若为退休人员，无需提供社保证明，须提供与本单位签订的劳务合同复印件）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提供供应商2022年1月至响应文件提交截止日同类项目业绩（以合同复印件为准），每提供一份业绩得2分，最高得10分。若提供虚假业绩，一经发现，按无效磋商处理。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满足磋商文件要求且最后下浮率最高的供应商的价格为磋商基准价,其价格分为满分。其他供应商的价格分统一按照下列公式计算：磋商报价得分=（磋商基准价/1-最后磋商报价）×10。 注：1.供应商的磋商最终总报价超过采购预算,其磋商响应将被拒绝。 2.本项目为专门面向中小企业采购，不享受价格扣除优惠政策。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详见附件：法定代表人证明书及委托书.docx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详见附件：合同08.12.docx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