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A02A7">
      <w:pPr>
        <w:spacing w:before="230" w:beforeLines="50" w:line="360" w:lineRule="auto"/>
        <w:ind w:firstLine="482" w:firstLineChars="200"/>
        <w:jc w:val="both"/>
        <w:rPr>
          <w:rFonts w:hint="eastAsia" w:ascii="仿宋" w:hAnsi="仿宋" w:eastAsia="仿宋" w:cs="仿宋"/>
          <w:b/>
          <w:sz w:val="24"/>
          <w:szCs w:val="24"/>
        </w:rPr>
      </w:pPr>
      <w:r>
        <w:rPr>
          <w:rFonts w:hint="eastAsia" w:ascii="仿宋" w:hAnsi="仿宋" w:eastAsia="仿宋" w:cs="仿宋"/>
          <w:b/>
          <w:sz w:val="24"/>
          <w:szCs w:val="24"/>
        </w:rPr>
        <w:t>甲方（采购人）：</w:t>
      </w:r>
      <w:r>
        <w:rPr>
          <w:rFonts w:hint="eastAsia" w:ascii="仿宋" w:hAnsi="仿宋" w:eastAsia="仿宋" w:cs="仿宋"/>
          <w:color w:val="C00000"/>
          <w:sz w:val="24"/>
          <w:szCs w:val="24"/>
          <w:u w:val="single"/>
          <w:lang w:val="en-US" w:eastAsia="zh-CN"/>
        </w:rPr>
        <w:t xml:space="preserve">                     </w:t>
      </w:r>
    </w:p>
    <w:p w14:paraId="44A487A0">
      <w:pPr>
        <w:spacing w:line="360" w:lineRule="auto"/>
        <w:ind w:firstLine="482" w:firstLineChars="200"/>
        <w:jc w:val="both"/>
        <w:rPr>
          <w:rFonts w:hint="eastAsia" w:ascii="仿宋" w:hAnsi="仿宋" w:eastAsia="仿宋" w:cs="仿宋"/>
          <w:b/>
          <w:sz w:val="24"/>
          <w:szCs w:val="24"/>
          <w:u w:val="single"/>
          <w:lang w:val="en-US" w:eastAsia="zh-CN"/>
        </w:rPr>
      </w:pPr>
      <w:r>
        <w:rPr>
          <w:rFonts w:hint="eastAsia" w:ascii="仿宋" w:hAnsi="仿宋" w:eastAsia="仿宋" w:cs="仿宋"/>
          <w:b/>
          <w:sz w:val="24"/>
          <w:szCs w:val="24"/>
        </w:rPr>
        <w:t>乙方（中标供应商）：</w:t>
      </w:r>
      <w:r>
        <w:rPr>
          <w:rFonts w:hint="eastAsia" w:ascii="仿宋" w:hAnsi="仿宋" w:eastAsia="仿宋" w:cs="仿宋"/>
          <w:color w:val="C00000"/>
          <w:sz w:val="24"/>
          <w:szCs w:val="24"/>
          <w:lang w:val="en-US" w:eastAsia="zh-CN"/>
        </w:rPr>
        <w:t xml:space="preserve"> </w:t>
      </w:r>
      <w:r>
        <w:rPr>
          <w:rFonts w:hint="eastAsia" w:ascii="仿宋" w:hAnsi="仿宋" w:eastAsia="仿宋" w:cs="仿宋"/>
          <w:color w:val="C00000"/>
          <w:sz w:val="24"/>
          <w:szCs w:val="24"/>
          <w:u w:val="single"/>
          <w:lang w:val="en-US" w:eastAsia="zh-CN"/>
        </w:rPr>
        <w:t xml:space="preserve">                     </w:t>
      </w:r>
    </w:p>
    <w:p w14:paraId="76F3DF7C">
      <w:pPr>
        <w:spacing w:before="230" w:beforeLines="50" w:line="360" w:lineRule="auto"/>
        <w:jc w:val="both"/>
        <w:rPr>
          <w:rFonts w:hint="eastAsia" w:ascii="仿宋" w:hAnsi="仿宋" w:eastAsia="仿宋" w:cs="仿宋"/>
          <w:b/>
          <w:sz w:val="24"/>
          <w:szCs w:val="24"/>
        </w:rPr>
      </w:pPr>
      <w:r>
        <w:rPr>
          <w:rFonts w:hint="eastAsia" w:ascii="仿宋" w:hAnsi="仿宋" w:eastAsia="仿宋" w:cs="仿宋"/>
          <w:b/>
          <w:sz w:val="24"/>
          <w:szCs w:val="24"/>
        </w:rPr>
        <w:t>一、服务条件：</w:t>
      </w:r>
    </w:p>
    <w:p w14:paraId="04D19A80">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（一）服务地点：甲方指定地点。</w:t>
      </w:r>
    </w:p>
    <w:p w14:paraId="1FCF9FB7">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（二）服务期：一年/达到采购预算金额，合同自动失效（若中途预算用尽，已受理未办结案件服务商须免费完成全部审计、出庭、补充鉴定，不得中途停止服务）。</w:t>
      </w:r>
    </w:p>
    <w:p w14:paraId="7B2F04D2">
      <w:pPr>
        <w:spacing w:before="230" w:beforeLines="50" w:line="360" w:lineRule="auto"/>
        <w:jc w:val="both"/>
        <w:rPr>
          <w:rFonts w:hint="eastAsia" w:ascii="仿宋" w:hAnsi="仿宋" w:eastAsia="仿宋" w:cs="仿宋"/>
          <w:b/>
          <w:sz w:val="24"/>
          <w:szCs w:val="24"/>
        </w:rPr>
      </w:pPr>
      <w:r>
        <w:rPr>
          <w:rFonts w:hint="eastAsia" w:ascii="仿宋" w:hAnsi="仿宋" w:eastAsia="仿宋" w:cs="仿宋"/>
          <w:b/>
          <w:sz w:val="24"/>
          <w:szCs w:val="24"/>
        </w:rPr>
        <w:t>二、合同价款</w:t>
      </w:r>
    </w:p>
    <w:p w14:paraId="7F453C6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1.结算方式：</w:t>
      </w:r>
    </w:p>
    <w:p w14:paraId="66F08A63">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单个项目服务费计算：根据涉案金额，依据陕发改价格〔2019〕1453号文件按标准计算×下浮率</w:t>
      </w:r>
    </w:p>
    <w:p w14:paraId="2298167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2.付款流程：本项目无预付款，每季度按完成案件数量验收合格（出具案件验收单），乙方核算服务费用后向甲方提交付款申请并开具合法增值税服务发票，经甲方确认无误后，15个工作日内付清。</w:t>
      </w:r>
    </w:p>
    <w:p w14:paraId="47118D6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3.紧急案件、重大疑难案件，根据案件难易程度、工作量、工作成本、时间与人员资质要求等因素，由甲乙双方友好协商，协商单价不得高于按文件标准测算金额。</w:t>
      </w:r>
    </w:p>
    <w:p w14:paraId="0B863AE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4.紧急案件：涉维稳、追赃挽损、羁押期限临近、检察院退查要求限期补证；</w:t>
      </w:r>
    </w:p>
    <w:p w14:paraId="4C1DB99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5.重大疑难案件：涉案金额500万元以上、多关联企业、账外账 / 多层资金回流、数十名涉案人员、跨区域资金流转；</w:t>
      </w:r>
    </w:p>
    <w:p w14:paraId="48B7BB5C">
      <w:pPr>
        <w:spacing w:before="230" w:beforeLines="50" w:line="360" w:lineRule="auto"/>
        <w:jc w:val="both"/>
        <w:rPr>
          <w:rFonts w:hint="eastAsia" w:ascii="仿宋" w:hAnsi="仿宋" w:eastAsia="仿宋" w:cs="仿宋"/>
          <w:b/>
          <w:sz w:val="24"/>
          <w:szCs w:val="24"/>
          <w:lang w:eastAsia="zh-CN"/>
        </w:rPr>
      </w:pPr>
      <w:r>
        <w:rPr>
          <w:rFonts w:hint="eastAsia" w:ascii="仿宋" w:hAnsi="仿宋" w:eastAsia="仿宋" w:cs="仿宋"/>
          <w:b/>
          <w:sz w:val="24"/>
          <w:szCs w:val="24"/>
          <w:lang w:val="en-US" w:eastAsia="zh-CN"/>
        </w:rPr>
        <w:t>三</w:t>
      </w:r>
      <w:r>
        <w:rPr>
          <w:rFonts w:hint="eastAsia" w:ascii="仿宋" w:hAnsi="仿宋" w:eastAsia="仿宋" w:cs="仿宋"/>
          <w:b/>
          <w:sz w:val="24"/>
          <w:szCs w:val="24"/>
        </w:rPr>
        <w:t>、服务</w:t>
      </w:r>
      <w:r>
        <w:rPr>
          <w:rFonts w:hint="eastAsia" w:ascii="仿宋" w:hAnsi="仿宋" w:eastAsia="仿宋" w:cs="仿宋"/>
          <w:b/>
          <w:sz w:val="24"/>
          <w:szCs w:val="24"/>
          <w:lang w:val="en-US" w:eastAsia="zh-CN"/>
        </w:rPr>
        <w:t>内容</w:t>
      </w:r>
    </w:p>
    <w:p w14:paraId="65E93754">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1、资料核查与账目梳理：对涉案单位/个人财务凭证、账簿、银行流水、合同、票据、电子数据等全面核验、整理、归档；建立清晰账目体系，形成可追溯工作底稿。</w:t>
      </w:r>
    </w:p>
    <w:p w14:paraId="13BBC320">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2、资金流向与涉案金额核定：核查资金来源、归集、转移、分配、使用轨迹，绘制资金流向图；核定涉案金额、损失金额、非法所得、追缴金额，形成量化结论。</w:t>
      </w:r>
    </w:p>
    <w:p w14:paraId="13CB27B4">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3、涉案资产形成、转移、隐匿、减值或灭失情况；重大合同、虚假开票、资金回流、商业贿赂等舞弊行为、可能存在的账外账、“小金库”、关联方资金占用、电子账务数据与纸质凭证一致性及篡改痕迹。</w:t>
      </w:r>
    </w:p>
    <w:p w14:paraId="6C09C504">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4、财务专项审计报告出具：出具符合《司法会计鉴定规范》《公安机关办理刑事案件程序规定》的正式财务专项审计报告；报告签章齐全、依据充分、结论唯一，满足检察院、法院采信标准。</w:t>
      </w:r>
    </w:p>
    <w:p w14:paraId="18D69522">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5、案件支撑与出庭配合：配合办案单位补充核查、数据复盘、证据固定；按要求出庭质证、接受询问、出具补充说明/修正意见。</w:t>
      </w:r>
    </w:p>
    <w:p w14:paraId="4A3654CE">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6、成果交付与档案移交：交付审计报告、工作底稿、资金流向表、数据分析表、证据附件；纸质版+电子版同步移交，符合公安涉密档案管理要求。</w:t>
      </w:r>
    </w:p>
    <w:p w14:paraId="6E2DA8E5">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kern w:val="2"/>
          <w:sz w:val="24"/>
          <w:szCs w:val="24"/>
          <w:highlight w:val="none"/>
          <w:lang w:val="en-US" w:eastAsia="zh-CN" w:bidi="ar-SA"/>
        </w:rPr>
        <w:t>四、</w:t>
      </w:r>
      <w:r>
        <w:rPr>
          <w:rFonts w:hint="eastAsia" w:ascii="仿宋" w:hAnsi="仿宋" w:eastAsia="仿宋" w:cs="仿宋"/>
          <w:b/>
          <w:color w:val="auto"/>
          <w:sz w:val="24"/>
          <w:szCs w:val="24"/>
          <w:highlight w:val="none"/>
          <w:lang w:val="en-US" w:eastAsia="zh-CN"/>
        </w:rPr>
        <w:t>服务要求</w:t>
      </w:r>
    </w:p>
    <w:p w14:paraId="52760F98">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1、应本着“独立、科学、真实、守法”的工作原则。服务标准，要以国家行业相关规定为准，服务期内如发生违反法律、法规，招标要求及投标承诺的行为，按照国家相关法律、法规规定执行。</w:t>
      </w:r>
    </w:p>
    <w:p w14:paraId="464674E9">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2、拟投入工作的人员不得外聘，对所服务的每个具体的项目，均严格按照投标文件中拟定人员进行配备，所有拟定人员须固定，且相关人员须具有相应资格。</w:t>
      </w:r>
    </w:p>
    <w:p w14:paraId="7F955F53">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3、应严格遵守职业道德，执行行业制度以及投标文件中有关廉政的承诺，规范具体操作。</w:t>
      </w:r>
    </w:p>
    <w:p w14:paraId="260B998F">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4、对于涉及国家秘密、商业秘密的审计项目或者事项，会计鉴定所审计人员参与审计时，应当严格保密管理。</w:t>
      </w:r>
    </w:p>
    <w:p w14:paraId="12809BD0">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5、执业证书：项目负责人为注册会计师，单案配备不少于2名专职审计人员，未经采购人书面同意不得更换。</w:t>
      </w:r>
    </w:p>
    <w:p w14:paraId="58EF5E96">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6、质量标准要求：遵循独立、客观、公正、科学、保密原则，数据真实、账证相符、依据充分；报告无虚假记载、误导性陈述、重大遗漏，可通过复检、质证、庭审审查。</w:t>
      </w:r>
    </w:p>
    <w:p w14:paraId="701EEDAF">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7、时效响应要求</w:t>
      </w:r>
    </w:p>
    <w:p w14:paraId="6CA9CFB6">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一般案件：7个工作日内出具初稿，15个工作日内完成终稿；</w:t>
      </w:r>
    </w:p>
    <w:p w14:paraId="57161F81">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重大/疑难案件：最长不超过45日历天；</w:t>
      </w:r>
    </w:p>
    <w:p w14:paraId="3C7ABB46">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紧急任务：24小时内响应，48小时内进场，按指定时限完成。</w:t>
      </w:r>
    </w:p>
    <w:p w14:paraId="23F64829">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8、保密安全要求：签订保密协议，严禁泄露案件信息、当事人信息、侦查措施、数据资料；电子数据加密存储，纸质资料专人保管，服务结束后按要求销毁/移交涉密材料；泄密承担法律责任与违约责任。</w:t>
      </w:r>
    </w:p>
    <w:p w14:paraId="63C5E1B4">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9、现场服务要求：实行驻场/随叫随到机制，配合办案节奏加班、外勤、调取资料；服从分局管理，遵守办案纪律与廉政规定。</w:t>
      </w:r>
    </w:p>
    <w:p w14:paraId="471013C3">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10、售后要求：根据西安市公安局提供的涉案相关资料，依据《中国注册会计师审计准则》《司法鉴定程序通则》以及《最高人民检察院公安部关于公安机关办理经济犯罪案件的若干规定》等相关规定，执行司法鉴定程序，出具司法鉴定意见书/财务专项审计报告。同时，在提请检察院、法院审理过程中，两院提出需要补充鉴定事项时，鉴定机构应全力配合免费完成补充鉴定，并最终通过检察院、法院审核。</w:t>
      </w:r>
    </w:p>
    <w:p w14:paraId="7F685216">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上述补充鉴定事项具体指以下几方面内容：</w:t>
      </w:r>
    </w:p>
    <w:p w14:paraId="5A6935A8">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案件新增报案人；</w:t>
      </w:r>
    </w:p>
    <w:p w14:paraId="6BDD045A">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案件新增嫌疑人；</w:t>
      </w:r>
    </w:p>
    <w:p w14:paraId="785980AF">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法院在案件审理中要求重新鉴定（如辩护律师提出嫌疑人涉案金额不准确需要重新计算）；</w:t>
      </w:r>
    </w:p>
    <w:p w14:paraId="2901EC20">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报案人对审计鉴定结论有异议，提出新的审计证据或要求；</w:t>
      </w:r>
    </w:p>
    <w:p w14:paraId="679E68EB">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合并起诉案件（外单位与我局相互移交案件，涉案金额发生变化需要补充鉴定）；</w:t>
      </w:r>
    </w:p>
    <w:p w14:paraId="359115BA">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color w:val="auto"/>
          <w:kern w:val="2"/>
          <w:sz w:val="24"/>
          <w:szCs w:val="24"/>
          <w:highlight w:val="none"/>
          <w:lang w:val="en-US" w:eastAsia="zh-CN" w:bidi="ar-SA"/>
        </w:rPr>
        <w:t>其他情况需要补充鉴定。</w:t>
      </w:r>
    </w:p>
    <w:p w14:paraId="2AB700F8">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lang w:val="en-US" w:eastAsia="zh-CN"/>
        </w:rPr>
        <w:t>其他要求</w:t>
      </w:r>
      <w:r>
        <w:rPr>
          <w:rFonts w:hint="eastAsia" w:ascii="仿宋" w:hAnsi="仿宋" w:eastAsia="仿宋" w:cs="仿宋"/>
          <w:sz w:val="24"/>
          <w:szCs w:val="24"/>
        </w:rPr>
        <w:t>以投标文件、澄清表（函）、合同和随服务的相关文件为准。</w:t>
      </w:r>
    </w:p>
    <w:p w14:paraId="3739DF02">
      <w:pPr>
        <w:spacing w:before="230" w:beforeLines="50" w:line="360" w:lineRule="auto"/>
        <w:jc w:val="both"/>
        <w:rPr>
          <w:rFonts w:hint="eastAsia" w:ascii="仿宋" w:hAnsi="仿宋" w:eastAsia="仿宋" w:cs="仿宋"/>
          <w:b/>
          <w:sz w:val="24"/>
          <w:szCs w:val="24"/>
        </w:rPr>
      </w:pPr>
      <w:r>
        <w:rPr>
          <w:rFonts w:hint="eastAsia" w:ascii="仿宋" w:hAnsi="仿宋" w:eastAsia="仿宋" w:cs="仿宋"/>
          <w:b/>
          <w:sz w:val="24"/>
          <w:szCs w:val="24"/>
        </w:rPr>
        <w:t>五、双方的权利和义务</w:t>
      </w:r>
    </w:p>
    <w:p w14:paraId="147714F1">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（一）甲方的权利与义务</w:t>
      </w:r>
    </w:p>
    <w:p w14:paraId="376B197C">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1、协调乙方与项目建设单位的联系，为乙方开展相关审计业务提供条件，确保乙方顺利开展审计工作。</w:t>
      </w:r>
    </w:p>
    <w:p w14:paraId="22BD7085">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2、及时为乙方的审计工作提供其所要求的完全脱密的项目有关文件和资料；为乙方派出的有关工作人员提供必要的工作条件及合作；按本合同的规定及时支付审计费用。</w:t>
      </w:r>
    </w:p>
    <w:p w14:paraId="58925E9B">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3、甲方对乙方的审核报告进行审核。</w:t>
      </w:r>
    </w:p>
    <w:p w14:paraId="0244344F">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（二）乙方的权利与义务</w:t>
      </w:r>
    </w:p>
    <w:p w14:paraId="0D975F91">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1、依据甲方要求进行审计，出具审核报告，保证审核报告的真实性、合法性。</w:t>
      </w:r>
    </w:p>
    <w:p w14:paraId="0339FF3F">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2、保证甲方提供的审计资料的安全完整，保证归还数和领用数一致。</w:t>
      </w:r>
    </w:p>
    <w:p w14:paraId="6301B587">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3、客观公正依法审计，遵守审计纪律和职业道德。</w:t>
      </w:r>
    </w:p>
    <w:p w14:paraId="539DEB3D">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4、按照约定时间完成审计业务并出具审核报告。</w:t>
      </w:r>
    </w:p>
    <w:p w14:paraId="6C5662EB">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5、乙方应签署保密协议，对执行业务过程中知悉的国家秘密和甲方商业秘密严加保密。除非造价工程师执业准则另有规定，或经甲方同意，乙方不得将其知悉的商业秘密和甲方提供的资料对外泄露。</w:t>
      </w:r>
    </w:p>
    <w:p w14:paraId="491DB074">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6、项目档案应全部交还甲方，乙方不得留存。</w:t>
      </w:r>
    </w:p>
    <w:p w14:paraId="13073F50">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7、乙方在执行审计业务时，不得有下列行为：</w:t>
      </w:r>
    </w:p>
    <w:p w14:paraId="1814AC7E">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（1）索取、收受委托合同约定以外的酬金或者其他财物，或者利用执行业务之便，谋取其他不正当的利益；</w:t>
      </w:r>
    </w:p>
    <w:p w14:paraId="6C2A1BBD">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（2）允许他人以乙方名义执行业务；</w:t>
      </w:r>
    </w:p>
    <w:p w14:paraId="267703D1">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（3）对其能力进行广告宣传以招揽业务；</w:t>
      </w:r>
    </w:p>
    <w:p w14:paraId="3EDA40F8">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（4）违反法律、行政法规的其他行为。</w:t>
      </w:r>
    </w:p>
    <w:p w14:paraId="55FB2DFA">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8、乙方对在执行业务中知悉的商业秘密，负有保密义务。</w:t>
      </w:r>
    </w:p>
    <w:p w14:paraId="201FBF64">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9、乙方应当具备与其从事的审计工作相适应的专业知识和业务能力。</w:t>
      </w:r>
    </w:p>
    <w:p w14:paraId="7CFE248F">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10、乙方办理审计事项，与被审计单位或者审计事项有利害关系的，应当回避。</w:t>
      </w:r>
    </w:p>
    <w:p w14:paraId="51D4F364">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11、乙方接到审核资料后，应委派双方约定的项目组负责人和成员开展工作，不得随意变更；若乙方确有变更的需要，应经甲方同意。</w:t>
      </w:r>
    </w:p>
    <w:p w14:paraId="718A2D59">
      <w:pPr>
        <w:spacing w:before="230" w:beforeLines="50" w:line="360" w:lineRule="auto"/>
        <w:jc w:val="both"/>
        <w:rPr>
          <w:rFonts w:hint="eastAsia" w:ascii="仿宋" w:hAnsi="仿宋" w:eastAsia="仿宋" w:cs="仿宋"/>
          <w:b/>
          <w:sz w:val="24"/>
          <w:szCs w:val="24"/>
        </w:rPr>
      </w:pPr>
      <w:r>
        <w:rPr>
          <w:rFonts w:hint="eastAsia" w:ascii="仿宋" w:hAnsi="仿宋" w:eastAsia="仿宋" w:cs="仿宋"/>
          <w:b/>
          <w:sz w:val="24"/>
          <w:szCs w:val="24"/>
        </w:rPr>
        <w:t>六、保密要求</w:t>
      </w:r>
    </w:p>
    <w:p w14:paraId="184C8B2C">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见合同后附件《保密协议》</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签订合同时提供</w:t>
      </w:r>
      <w:r>
        <w:rPr>
          <w:rFonts w:hint="eastAsia" w:ascii="仿宋" w:hAnsi="仿宋" w:eastAsia="仿宋" w:cs="仿宋"/>
          <w:sz w:val="24"/>
          <w:szCs w:val="24"/>
        </w:rPr>
        <w:t>。</w:t>
      </w:r>
    </w:p>
    <w:p w14:paraId="6742EABF">
      <w:pPr>
        <w:keepNext w:val="0"/>
        <w:keepLines w:val="0"/>
        <w:pageBreakBefore w:val="0"/>
        <w:widowControl w:val="0"/>
        <w:wordWrap/>
        <w:overflowPunct/>
        <w:topLinePunct w:val="0"/>
        <w:autoSpaceDE/>
        <w:autoSpaceDN/>
        <w:bidi w:val="0"/>
        <w:spacing w:line="360" w:lineRule="auto"/>
        <w:jc w:val="left"/>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七、验收</w:t>
      </w:r>
    </w:p>
    <w:p w14:paraId="355DE484">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（一）按国家现行项目实施规范和合同规定的验收评定标准等要求进行验收。</w:t>
      </w:r>
    </w:p>
    <w:p w14:paraId="1161BE26">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（二）验收依据</w:t>
      </w:r>
    </w:p>
    <w:p w14:paraId="442A96FC">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1、本项目招标文件、投标文件；</w:t>
      </w:r>
    </w:p>
    <w:p w14:paraId="2BA81F53">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2、本合同及附件文本；</w:t>
      </w:r>
    </w:p>
    <w:p w14:paraId="481EE2EE">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3、合同签订时国家及行业现行的标准和技术规范。</w:t>
      </w:r>
    </w:p>
    <w:p w14:paraId="26289BF2">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rPr>
      </w:pPr>
      <w:r>
        <w:rPr>
          <w:rFonts w:hint="eastAsia" w:ascii="仿宋" w:hAnsi="仿宋" w:eastAsia="仿宋" w:cs="仿宋"/>
          <w:kern w:val="2"/>
          <w:sz w:val="24"/>
          <w:szCs w:val="24"/>
          <w:lang w:val="en-US" w:eastAsia="zh-CN" w:bidi="ar-SA"/>
        </w:rPr>
        <w:t>4、供应商应向采购人提交项目实施过程中的所有资料，以便采购人日后管理和维护。</w:t>
      </w:r>
    </w:p>
    <w:p w14:paraId="1358C10D">
      <w:pPr>
        <w:spacing w:before="230" w:beforeLines="50" w:line="360" w:lineRule="auto"/>
        <w:jc w:val="both"/>
        <w:rPr>
          <w:rFonts w:hint="eastAsia" w:ascii="仿宋" w:hAnsi="仿宋" w:eastAsia="仿宋" w:cs="仿宋"/>
          <w:b/>
          <w:sz w:val="24"/>
          <w:szCs w:val="24"/>
        </w:rPr>
      </w:pPr>
      <w:r>
        <w:rPr>
          <w:rFonts w:hint="eastAsia" w:ascii="仿宋" w:hAnsi="仿宋" w:eastAsia="仿宋" w:cs="仿宋"/>
          <w:b/>
          <w:sz w:val="24"/>
          <w:szCs w:val="24"/>
          <w:lang w:val="en-US" w:eastAsia="zh-CN"/>
        </w:rPr>
        <w:t>八</w:t>
      </w:r>
      <w:r>
        <w:rPr>
          <w:rFonts w:hint="eastAsia" w:ascii="仿宋" w:hAnsi="仿宋" w:eastAsia="仿宋" w:cs="仿宋"/>
          <w:b/>
          <w:sz w:val="24"/>
          <w:szCs w:val="24"/>
        </w:rPr>
        <w:t>、违约责任</w:t>
      </w:r>
    </w:p>
    <w:p w14:paraId="323B00DE">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一）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4E3EDB02">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（二）由双方按《民法典》中的平等原则协商后补充。</w:t>
      </w:r>
    </w:p>
    <w:p w14:paraId="373B5981">
      <w:pPr>
        <w:spacing w:before="230" w:beforeLines="50" w:line="360" w:lineRule="auto"/>
        <w:jc w:val="both"/>
        <w:rPr>
          <w:rFonts w:hint="eastAsia" w:ascii="仿宋" w:hAnsi="仿宋" w:eastAsia="仿宋" w:cs="仿宋"/>
          <w:b/>
          <w:sz w:val="24"/>
          <w:szCs w:val="24"/>
        </w:rPr>
      </w:pPr>
      <w:r>
        <w:rPr>
          <w:rFonts w:hint="eastAsia" w:ascii="仿宋" w:hAnsi="仿宋" w:eastAsia="仿宋" w:cs="仿宋"/>
          <w:b/>
          <w:sz w:val="24"/>
          <w:szCs w:val="24"/>
          <w:lang w:val="en-US" w:eastAsia="zh-CN"/>
        </w:rPr>
        <w:t>九</w:t>
      </w:r>
      <w:r>
        <w:rPr>
          <w:rFonts w:hint="eastAsia" w:ascii="仿宋" w:hAnsi="仿宋" w:eastAsia="仿宋" w:cs="仿宋"/>
          <w:b/>
          <w:sz w:val="24"/>
          <w:szCs w:val="24"/>
        </w:rPr>
        <w:t>、争议解决方式</w:t>
      </w:r>
    </w:p>
    <w:p w14:paraId="20D0CFDA">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对本合同执行过程中发生的一切争议，双方应友好协商解决，如协商不能解决，向甲方所在地有管辖权的法院提前诉讼。</w:t>
      </w:r>
    </w:p>
    <w:p w14:paraId="558B1EDB">
      <w:pPr>
        <w:spacing w:before="230" w:beforeLines="50" w:line="360" w:lineRule="auto"/>
        <w:jc w:val="both"/>
        <w:rPr>
          <w:rFonts w:hint="eastAsia" w:ascii="仿宋" w:hAnsi="仿宋" w:eastAsia="仿宋" w:cs="仿宋"/>
          <w:b/>
          <w:sz w:val="24"/>
          <w:szCs w:val="24"/>
        </w:rPr>
      </w:pPr>
      <w:r>
        <w:rPr>
          <w:rFonts w:hint="eastAsia" w:ascii="仿宋" w:hAnsi="仿宋" w:eastAsia="仿宋" w:cs="仿宋"/>
          <w:b/>
          <w:sz w:val="24"/>
          <w:szCs w:val="24"/>
          <w:lang w:val="en-US" w:eastAsia="zh-CN"/>
        </w:rPr>
        <w:t>十</w:t>
      </w:r>
      <w:r>
        <w:rPr>
          <w:rFonts w:hint="eastAsia" w:ascii="仿宋" w:hAnsi="仿宋" w:eastAsia="仿宋" w:cs="仿宋"/>
          <w:b/>
          <w:sz w:val="24"/>
          <w:szCs w:val="24"/>
        </w:rPr>
        <w:t>、合同生效及其他</w:t>
      </w:r>
    </w:p>
    <w:p w14:paraId="15DD1857">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1、本合同自签订之日起生效。</w:t>
      </w:r>
    </w:p>
    <w:p w14:paraId="5DFB8B55">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2、合同一式4份，甲方、乙方各执1份；乙方办理结算2份。</w:t>
      </w:r>
    </w:p>
    <w:p w14:paraId="43187513">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3、如本合同有未尽事宜，以招标文件</w:t>
      </w:r>
      <w:r>
        <w:rPr>
          <w:rFonts w:hint="eastAsia" w:ascii="仿宋" w:hAnsi="仿宋" w:eastAsia="仿宋" w:cs="仿宋"/>
          <w:sz w:val="24"/>
          <w:szCs w:val="24"/>
          <w:lang w:val="en-US" w:eastAsia="zh-CN"/>
        </w:rPr>
        <w:t>约定</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投标文件响应</w:t>
      </w:r>
      <w:r>
        <w:rPr>
          <w:rFonts w:hint="eastAsia" w:ascii="仿宋" w:hAnsi="仿宋" w:eastAsia="仿宋" w:cs="仿宋"/>
          <w:sz w:val="24"/>
          <w:szCs w:val="24"/>
        </w:rPr>
        <w:t>为准，招标文件</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投标文件</w:t>
      </w:r>
      <w:bookmarkStart w:id="0" w:name="_GoBack"/>
      <w:bookmarkEnd w:id="0"/>
      <w:r>
        <w:rPr>
          <w:rFonts w:hint="eastAsia" w:ascii="仿宋" w:hAnsi="仿宋" w:eastAsia="仿宋" w:cs="仿宋"/>
          <w:sz w:val="24"/>
          <w:szCs w:val="24"/>
        </w:rPr>
        <w:t>未做要求的，由双方依法订立补充合同。</w:t>
      </w:r>
    </w:p>
    <w:tbl>
      <w:tblPr>
        <w:tblStyle w:val="4"/>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252"/>
      </w:tblGrid>
      <w:tr w14:paraId="3B33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368" w:type="dxa"/>
            <w:tcBorders>
              <w:top w:val="single" w:color="auto" w:sz="4" w:space="0"/>
              <w:left w:val="single" w:color="auto" w:sz="4" w:space="0"/>
              <w:bottom w:val="single" w:color="auto" w:sz="4" w:space="0"/>
              <w:right w:val="single" w:color="auto" w:sz="4" w:space="0"/>
            </w:tcBorders>
          </w:tcPr>
          <w:p w14:paraId="1228EA32">
            <w:pPr>
              <w:autoSpaceDE w:val="0"/>
              <w:autoSpaceDN w:val="0"/>
              <w:adjustRightInd w:val="0"/>
              <w:spacing w:line="360" w:lineRule="auto"/>
              <w:jc w:val="center"/>
              <w:rPr>
                <w:rFonts w:hint="eastAsia" w:ascii="仿宋" w:hAnsi="仿宋" w:eastAsia="仿宋" w:cs="仿宋"/>
                <w:spacing w:val="-20"/>
                <w:kern w:val="0"/>
                <w:sz w:val="24"/>
              </w:rPr>
            </w:pPr>
            <w:r>
              <w:rPr>
                <w:rFonts w:hint="eastAsia" w:ascii="仿宋" w:hAnsi="仿宋" w:eastAsia="仿宋" w:cs="仿宋"/>
                <w:spacing w:val="-20"/>
                <w:kern w:val="0"/>
                <w:sz w:val="24"/>
              </w:rPr>
              <w:t>甲  方</w:t>
            </w:r>
          </w:p>
        </w:tc>
        <w:tc>
          <w:tcPr>
            <w:tcW w:w="4252" w:type="dxa"/>
            <w:tcBorders>
              <w:top w:val="single" w:color="auto" w:sz="4" w:space="0"/>
              <w:left w:val="nil"/>
              <w:bottom w:val="single" w:color="auto" w:sz="4" w:space="0"/>
              <w:right w:val="single" w:color="auto" w:sz="4" w:space="0"/>
            </w:tcBorders>
          </w:tcPr>
          <w:p w14:paraId="3C99EE8C">
            <w:pPr>
              <w:autoSpaceDE w:val="0"/>
              <w:autoSpaceDN w:val="0"/>
              <w:adjustRightInd w:val="0"/>
              <w:spacing w:line="360" w:lineRule="auto"/>
              <w:jc w:val="center"/>
              <w:rPr>
                <w:rFonts w:hint="eastAsia" w:ascii="仿宋" w:hAnsi="仿宋" w:eastAsia="仿宋" w:cs="仿宋"/>
                <w:spacing w:val="-20"/>
                <w:kern w:val="0"/>
                <w:sz w:val="24"/>
              </w:rPr>
            </w:pPr>
            <w:r>
              <w:rPr>
                <w:rFonts w:hint="eastAsia" w:ascii="仿宋" w:hAnsi="仿宋" w:eastAsia="仿宋" w:cs="仿宋"/>
                <w:spacing w:val="-20"/>
                <w:kern w:val="0"/>
                <w:sz w:val="24"/>
              </w:rPr>
              <w:t>乙  方</w:t>
            </w:r>
          </w:p>
        </w:tc>
      </w:tr>
      <w:tr w14:paraId="118FC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368" w:type="dxa"/>
            <w:tcBorders>
              <w:top w:val="single" w:color="auto" w:sz="4" w:space="0"/>
              <w:left w:val="single" w:color="auto" w:sz="4" w:space="0"/>
              <w:bottom w:val="single" w:color="auto" w:sz="4" w:space="0"/>
              <w:right w:val="single" w:color="auto" w:sz="4" w:space="0"/>
            </w:tcBorders>
            <w:vAlign w:val="center"/>
          </w:tcPr>
          <w:p w14:paraId="6D971B1F">
            <w:pPr>
              <w:autoSpaceDE w:val="0"/>
              <w:autoSpaceDN w:val="0"/>
              <w:adjustRightInd w:val="0"/>
              <w:spacing w:line="360" w:lineRule="auto"/>
              <w:jc w:val="center"/>
              <w:rPr>
                <w:rFonts w:hint="eastAsia" w:ascii="仿宋" w:hAnsi="仿宋" w:eastAsia="仿宋" w:cs="仿宋"/>
                <w:spacing w:val="-20"/>
                <w:kern w:val="0"/>
                <w:sz w:val="24"/>
              </w:rPr>
            </w:pPr>
            <w:r>
              <w:rPr>
                <w:rFonts w:hint="eastAsia" w:ascii="仿宋" w:hAnsi="仿宋" w:eastAsia="仿宋" w:cs="仿宋"/>
                <w:spacing w:val="-20"/>
                <w:kern w:val="0"/>
                <w:sz w:val="24"/>
              </w:rPr>
              <w:t>（盖章）</w:t>
            </w:r>
          </w:p>
        </w:tc>
        <w:tc>
          <w:tcPr>
            <w:tcW w:w="4252" w:type="dxa"/>
            <w:tcBorders>
              <w:top w:val="single" w:color="auto" w:sz="4" w:space="0"/>
              <w:left w:val="nil"/>
              <w:bottom w:val="single" w:color="auto" w:sz="4" w:space="0"/>
              <w:right w:val="single" w:color="auto" w:sz="4" w:space="0"/>
            </w:tcBorders>
            <w:vAlign w:val="center"/>
          </w:tcPr>
          <w:p w14:paraId="08302759">
            <w:pPr>
              <w:autoSpaceDE w:val="0"/>
              <w:autoSpaceDN w:val="0"/>
              <w:adjustRightInd w:val="0"/>
              <w:spacing w:line="400" w:lineRule="exact"/>
              <w:jc w:val="center"/>
              <w:rPr>
                <w:rFonts w:hint="eastAsia" w:ascii="仿宋" w:hAnsi="仿宋" w:eastAsia="仿宋" w:cs="仿宋"/>
                <w:spacing w:val="-20"/>
                <w:kern w:val="0"/>
                <w:sz w:val="24"/>
              </w:rPr>
            </w:pPr>
            <w:r>
              <w:rPr>
                <w:rFonts w:hint="eastAsia" w:ascii="仿宋" w:hAnsi="仿宋" w:eastAsia="仿宋" w:cs="仿宋"/>
                <w:spacing w:val="-20"/>
                <w:kern w:val="0"/>
                <w:sz w:val="24"/>
              </w:rPr>
              <w:t>成交供应商全称</w:t>
            </w:r>
          </w:p>
          <w:p w14:paraId="05B68DBE">
            <w:pPr>
              <w:autoSpaceDE w:val="0"/>
              <w:autoSpaceDN w:val="0"/>
              <w:adjustRightInd w:val="0"/>
              <w:spacing w:line="400" w:lineRule="exact"/>
              <w:ind w:firstLine="1400" w:firstLineChars="700"/>
              <w:jc w:val="left"/>
              <w:rPr>
                <w:rFonts w:hint="eastAsia" w:ascii="仿宋" w:hAnsi="仿宋" w:eastAsia="仿宋" w:cs="仿宋"/>
                <w:spacing w:val="-20"/>
                <w:kern w:val="0"/>
                <w:sz w:val="24"/>
              </w:rPr>
            </w:pPr>
            <w:r>
              <w:rPr>
                <w:rFonts w:hint="eastAsia" w:ascii="仿宋" w:hAnsi="仿宋" w:eastAsia="仿宋" w:cs="仿宋"/>
                <w:spacing w:val="-20"/>
                <w:kern w:val="0"/>
                <w:sz w:val="24"/>
              </w:rPr>
              <w:t>（盖章）</w:t>
            </w:r>
          </w:p>
        </w:tc>
      </w:tr>
      <w:tr w14:paraId="1DD1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368" w:type="dxa"/>
            <w:tcBorders>
              <w:top w:val="single" w:color="auto" w:sz="4" w:space="0"/>
              <w:left w:val="single" w:color="auto" w:sz="4" w:space="0"/>
              <w:bottom w:val="single" w:color="auto" w:sz="4" w:space="0"/>
              <w:right w:val="single" w:color="auto" w:sz="4" w:space="0"/>
            </w:tcBorders>
          </w:tcPr>
          <w:p w14:paraId="2982C23E">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 xml:space="preserve">地址： </w:t>
            </w:r>
          </w:p>
        </w:tc>
        <w:tc>
          <w:tcPr>
            <w:tcW w:w="4252" w:type="dxa"/>
            <w:tcBorders>
              <w:top w:val="single" w:color="auto" w:sz="4" w:space="0"/>
              <w:left w:val="nil"/>
              <w:bottom w:val="single" w:color="auto" w:sz="4" w:space="0"/>
              <w:right w:val="single" w:color="auto" w:sz="4" w:space="0"/>
            </w:tcBorders>
          </w:tcPr>
          <w:p w14:paraId="2C228198">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地址：</w:t>
            </w:r>
          </w:p>
        </w:tc>
      </w:tr>
      <w:tr w14:paraId="10DD3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368" w:type="dxa"/>
            <w:tcBorders>
              <w:top w:val="single" w:color="auto" w:sz="4" w:space="0"/>
              <w:left w:val="single" w:color="auto" w:sz="4" w:space="0"/>
              <w:bottom w:val="single" w:color="auto" w:sz="4" w:space="0"/>
              <w:right w:val="single" w:color="auto" w:sz="4" w:space="0"/>
            </w:tcBorders>
          </w:tcPr>
          <w:p w14:paraId="7B2A6F29">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邮编：</w:t>
            </w:r>
          </w:p>
        </w:tc>
        <w:tc>
          <w:tcPr>
            <w:tcW w:w="4252" w:type="dxa"/>
            <w:tcBorders>
              <w:top w:val="single" w:color="auto" w:sz="4" w:space="0"/>
              <w:left w:val="nil"/>
              <w:bottom w:val="single" w:color="auto" w:sz="4" w:space="0"/>
              <w:right w:val="single" w:color="auto" w:sz="4" w:space="0"/>
            </w:tcBorders>
          </w:tcPr>
          <w:p w14:paraId="33EB7A1F">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邮编：</w:t>
            </w:r>
          </w:p>
        </w:tc>
      </w:tr>
      <w:tr w14:paraId="49E4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tcPr>
          <w:p w14:paraId="596BE904">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 xml:space="preserve">承办人：（签字） </w:t>
            </w:r>
          </w:p>
        </w:tc>
        <w:tc>
          <w:tcPr>
            <w:tcW w:w="4252" w:type="dxa"/>
            <w:tcBorders>
              <w:top w:val="single" w:color="auto" w:sz="4" w:space="0"/>
              <w:left w:val="nil"/>
              <w:bottom w:val="single" w:color="auto" w:sz="4" w:space="0"/>
              <w:right w:val="single" w:color="auto" w:sz="4" w:space="0"/>
            </w:tcBorders>
          </w:tcPr>
          <w:p w14:paraId="29FE2D88">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被授权代表：（签字）</w:t>
            </w:r>
          </w:p>
        </w:tc>
      </w:tr>
      <w:tr w14:paraId="621D2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3E37E8D7">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法定代表人或委托代理人</w:t>
            </w:r>
          </w:p>
          <w:p w14:paraId="21F20372">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（主管院长）：（签字）</w:t>
            </w:r>
          </w:p>
        </w:tc>
        <w:tc>
          <w:tcPr>
            <w:tcW w:w="4252" w:type="dxa"/>
            <w:tcBorders>
              <w:top w:val="single" w:color="auto" w:sz="4" w:space="0"/>
              <w:left w:val="nil"/>
              <w:bottom w:val="single" w:color="auto" w:sz="4" w:space="0"/>
              <w:right w:val="single" w:color="auto" w:sz="4" w:space="0"/>
            </w:tcBorders>
          </w:tcPr>
          <w:p w14:paraId="25509850">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法定代表人：（签字）</w:t>
            </w:r>
          </w:p>
        </w:tc>
      </w:tr>
      <w:tr w14:paraId="43867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4F47A843">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电话：</w:t>
            </w:r>
          </w:p>
        </w:tc>
        <w:tc>
          <w:tcPr>
            <w:tcW w:w="4252" w:type="dxa"/>
            <w:tcBorders>
              <w:top w:val="single" w:color="auto" w:sz="4" w:space="0"/>
              <w:left w:val="nil"/>
              <w:bottom w:val="single" w:color="auto" w:sz="4" w:space="0"/>
              <w:right w:val="single" w:color="auto" w:sz="4" w:space="0"/>
            </w:tcBorders>
          </w:tcPr>
          <w:p w14:paraId="1549A5BC">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电话：</w:t>
            </w:r>
          </w:p>
        </w:tc>
      </w:tr>
      <w:tr w14:paraId="6B0B5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tcPr>
          <w:p w14:paraId="0A7B35AB">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开户银行：</w:t>
            </w:r>
          </w:p>
        </w:tc>
        <w:tc>
          <w:tcPr>
            <w:tcW w:w="4252" w:type="dxa"/>
            <w:tcBorders>
              <w:top w:val="single" w:color="auto" w:sz="4" w:space="0"/>
              <w:left w:val="nil"/>
              <w:bottom w:val="single" w:color="auto" w:sz="4" w:space="0"/>
              <w:right w:val="single" w:color="auto" w:sz="4" w:space="0"/>
            </w:tcBorders>
          </w:tcPr>
          <w:p w14:paraId="37DC6DC7">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开户银行：</w:t>
            </w:r>
          </w:p>
        </w:tc>
      </w:tr>
      <w:tr w14:paraId="7ED8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4F98FD3A">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帐号：</w:t>
            </w:r>
          </w:p>
        </w:tc>
        <w:tc>
          <w:tcPr>
            <w:tcW w:w="4252" w:type="dxa"/>
            <w:tcBorders>
              <w:top w:val="single" w:color="auto" w:sz="4" w:space="0"/>
              <w:left w:val="nil"/>
              <w:bottom w:val="single" w:color="auto" w:sz="4" w:space="0"/>
              <w:right w:val="single" w:color="auto" w:sz="4" w:space="0"/>
            </w:tcBorders>
          </w:tcPr>
          <w:p w14:paraId="26DEC6CF">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帐号：</w:t>
            </w:r>
          </w:p>
        </w:tc>
      </w:tr>
      <w:tr w14:paraId="27E6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523DAF34">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日期：   年   月   日</w:t>
            </w:r>
          </w:p>
        </w:tc>
        <w:tc>
          <w:tcPr>
            <w:tcW w:w="4252" w:type="dxa"/>
            <w:tcBorders>
              <w:top w:val="single" w:color="auto" w:sz="4" w:space="0"/>
              <w:left w:val="nil"/>
              <w:bottom w:val="single" w:color="auto" w:sz="4" w:space="0"/>
              <w:right w:val="single" w:color="auto" w:sz="4" w:space="0"/>
            </w:tcBorders>
          </w:tcPr>
          <w:p w14:paraId="39126333">
            <w:pPr>
              <w:autoSpaceDE w:val="0"/>
              <w:autoSpaceDN w:val="0"/>
              <w:adjustRightInd w:val="0"/>
              <w:spacing w:line="600" w:lineRule="exact"/>
              <w:jc w:val="left"/>
              <w:rPr>
                <w:rFonts w:hint="eastAsia" w:ascii="仿宋" w:hAnsi="仿宋" w:eastAsia="仿宋" w:cs="仿宋"/>
                <w:spacing w:val="-20"/>
                <w:kern w:val="0"/>
                <w:sz w:val="24"/>
              </w:rPr>
            </w:pPr>
            <w:r>
              <w:rPr>
                <w:rFonts w:hint="eastAsia" w:ascii="仿宋" w:hAnsi="仿宋" w:eastAsia="仿宋" w:cs="仿宋"/>
                <w:spacing w:val="-20"/>
                <w:kern w:val="0"/>
                <w:sz w:val="24"/>
              </w:rPr>
              <w:t>日期：   年   月   日</w:t>
            </w:r>
          </w:p>
        </w:tc>
      </w:tr>
    </w:tbl>
    <w:p w14:paraId="2D0827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236E3F"/>
    <w:rsid w:val="1D236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footer"/>
    <w:basedOn w:val="1"/>
    <w:qFormat/>
    <w:uiPriority w:val="99"/>
    <w:pPr>
      <w:tabs>
        <w:tab w:val="center" w:pos="4153"/>
        <w:tab w:val="right" w:pos="8306"/>
      </w:tabs>
      <w:snapToGrid w:val="0"/>
      <w:jc w:val="left"/>
    </w:pPr>
    <w:rPr>
      <w:sz w:val="18"/>
      <w:szCs w:val="18"/>
    </w:rPr>
  </w:style>
  <w:style w:type="paragraph" w:customStyle="1" w:styleId="6">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2026-08-12T06:09:00Z</dcterms:created>
  <dc:creator>八点半…</dc:creator>
  <cp:lastModifiedBy>八点半…</cp:lastModifiedBy>
  <dcterms:modified xsi:type="dcterms:W3CDTF">2026-08-12T06:17:10Z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6EA965D9C9A84B59AAA65AC951D7DCD0_11</vt:lpwstr>
  </property>
  <property fmtid="{D5CDD505-2E9C-101B-9397-08002B2CF9AE}" pid="4" name="KSOTemplateDocerSaveRecord">
    <vt:lpwstr>eyJoZGlkIjoiMTA5ZjNlMWJjNDg2YTZkNTI5MGM5YmQ5MjE4NjhiNzgiLCJ1c2VySWQiOiIyMzI5NDA5MjQifQ==</vt:lpwstr>
  </property>
</Properties>
</file>