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963C8">
      <w:pPr>
        <w:pStyle w:val="5"/>
        <w:jc w:val="center"/>
        <w:outlineLvl w:val="1"/>
        <w:rPr>
          <w:rFonts w:hint="default" w:ascii="仿宋" w:hAnsi="仿宋" w:eastAsia="仿宋" w:cs="仿宋"/>
          <w:sz w:val="21"/>
          <w:szCs w:val="21"/>
          <w:highlight w:val="none"/>
        </w:rPr>
      </w:pPr>
      <w:r>
        <w:rPr>
          <w:rFonts w:ascii="仿宋" w:hAnsi="仿宋" w:eastAsia="仿宋" w:cs="仿宋"/>
          <w:b/>
          <w:sz w:val="40"/>
          <w:szCs w:val="21"/>
          <w:highlight w:val="none"/>
        </w:rPr>
        <w:t>拟签订合同文本</w:t>
      </w:r>
    </w:p>
    <w:p w14:paraId="61F3A8E4">
      <w:pPr>
        <w:jc w:val="left"/>
        <w:rPr>
          <w:rFonts w:ascii="仿宋" w:hAnsi="仿宋" w:eastAsia="仿宋" w:cs="仿宋"/>
          <w:b/>
          <w:bCs/>
          <w:sz w:val="32"/>
          <w:szCs w:val="32"/>
          <w:highlight w:val="none"/>
        </w:rPr>
      </w:pPr>
    </w:p>
    <w:p w14:paraId="163EFCC6">
      <w:pPr>
        <w:jc w:val="left"/>
        <w:rPr>
          <w:rFonts w:ascii="仿宋" w:hAnsi="仿宋" w:eastAsia="仿宋" w:cs="仿宋"/>
          <w:b/>
          <w:bCs/>
          <w:sz w:val="32"/>
          <w:szCs w:val="32"/>
          <w:highlight w:val="none"/>
        </w:rPr>
      </w:pPr>
    </w:p>
    <w:p w14:paraId="1E085BD5">
      <w:pPr>
        <w:jc w:val="left"/>
        <w:rPr>
          <w:rFonts w:ascii="仿宋" w:hAnsi="仿宋" w:eastAsia="仿宋" w:cs="仿宋"/>
          <w:b/>
          <w:bCs/>
          <w:sz w:val="32"/>
          <w:szCs w:val="32"/>
          <w:highlight w:val="none"/>
        </w:rPr>
      </w:pPr>
      <w:r>
        <w:rPr>
          <w:rFonts w:hint="eastAsia" w:ascii="仿宋" w:hAnsi="仿宋" w:eastAsia="仿宋" w:cs="仿宋"/>
          <w:b/>
          <w:bCs/>
          <w:sz w:val="32"/>
          <w:szCs w:val="32"/>
          <w:highlight w:val="none"/>
        </w:rPr>
        <w:t>政府采购合同                          合同编号：</w:t>
      </w:r>
    </w:p>
    <w:p w14:paraId="08C582ED">
      <w:pPr>
        <w:pStyle w:val="2"/>
        <w:rPr>
          <w:bCs/>
          <w:sz w:val="32"/>
          <w:szCs w:val="32"/>
          <w:highlight w:val="none"/>
          <w:lang w:eastAsia="zh-CN"/>
        </w:rPr>
      </w:pPr>
    </w:p>
    <w:p w14:paraId="5E446758">
      <w:pPr>
        <w:pStyle w:val="2"/>
        <w:rPr>
          <w:bCs/>
          <w:sz w:val="32"/>
          <w:szCs w:val="32"/>
          <w:highlight w:val="none"/>
          <w:lang w:eastAsia="zh-CN"/>
        </w:rPr>
      </w:pPr>
    </w:p>
    <w:p w14:paraId="1986A665">
      <w:pPr>
        <w:pStyle w:val="2"/>
        <w:rPr>
          <w:sz w:val="21"/>
          <w:szCs w:val="21"/>
          <w:highlight w:val="none"/>
          <w:lang w:eastAsia="zh-CN"/>
        </w:rPr>
      </w:pPr>
    </w:p>
    <w:p w14:paraId="63B57336">
      <w:pPr>
        <w:jc w:val="center"/>
        <w:rPr>
          <w:rFonts w:ascii="仿宋" w:hAnsi="仿宋" w:eastAsia="仿宋" w:cs="仿宋"/>
          <w:b/>
          <w:bCs/>
          <w:sz w:val="48"/>
          <w:szCs w:val="48"/>
          <w:highlight w:val="none"/>
        </w:rPr>
      </w:pPr>
      <w:r>
        <w:rPr>
          <w:rFonts w:hint="eastAsia" w:ascii="仿宋" w:hAnsi="仿宋" w:eastAsia="仿宋" w:cs="仿宋"/>
          <w:b/>
          <w:bCs/>
          <w:sz w:val="48"/>
          <w:szCs w:val="48"/>
          <w:highlight w:val="none"/>
          <w:u w:val="single"/>
        </w:rPr>
        <w:t xml:space="preserve">                         </w:t>
      </w:r>
      <w:r>
        <w:rPr>
          <w:rFonts w:hint="eastAsia" w:ascii="仿宋" w:hAnsi="仿宋" w:eastAsia="仿宋" w:cs="仿宋"/>
          <w:b/>
          <w:bCs/>
          <w:sz w:val="48"/>
          <w:szCs w:val="48"/>
          <w:highlight w:val="none"/>
        </w:rPr>
        <w:t>项目</w:t>
      </w:r>
    </w:p>
    <w:p w14:paraId="386A8084">
      <w:pPr>
        <w:rPr>
          <w:rFonts w:ascii="仿宋" w:hAnsi="仿宋" w:eastAsia="仿宋" w:cs="仿宋"/>
          <w:sz w:val="22"/>
          <w:szCs w:val="28"/>
          <w:highlight w:val="none"/>
        </w:rPr>
      </w:pPr>
    </w:p>
    <w:p w14:paraId="1D48BA34">
      <w:pPr>
        <w:rPr>
          <w:rFonts w:ascii="仿宋" w:hAnsi="仿宋" w:eastAsia="仿宋" w:cs="仿宋"/>
          <w:sz w:val="22"/>
          <w:szCs w:val="28"/>
          <w:highlight w:val="none"/>
        </w:rPr>
      </w:pPr>
    </w:p>
    <w:p w14:paraId="4EE8FC6C">
      <w:pPr>
        <w:pStyle w:val="2"/>
        <w:rPr>
          <w:sz w:val="21"/>
          <w:szCs w:val="21"/>
          <w:highlight w:val="none"/>
          <w:lang w:eastAsia="zh-CN"/>
        </w:rPr>
      </w:pPr>
    </w:p>
    <w:p w14:paraId="5CE4CC3B">
      <w:pPr>
        <w:pStyle w:val="2"/>
        <w:rPr>
          <w:sz w:val="21"/>
          <w:szCs w:val="21"/>
          <w:highlight w:val="none"/>
          <w:lang w:eastAsia="zh-CN"/>
        </w:rPr>
      </w:pPr>
    </w:p>
    <w:p w14:paraId="0AD0BEBB">
      <w:pPr>
        <w:rPr>
          <w:rFonts w:ascii="仿宋" w:hAnsi="仿宋" w:eastAsia="仿宋" w:cs="仿宋"/>
          <w:sz w:val="22"/>
          <w:szCs w:val="28"/>
          <w:highlight w:val="none"/>
        </w:rPr>
      </w:pPr>
    </w:p>
    <w:p w14:paraId="381241EA">
      <w:pPr>
        <w:rPr>
          <w:rFonts w:ascii="仿宋" w:hAnsi="仿宋" w:eastAsia="仿宋" w:cs="仿宋"/>
          <w:sz w:val="22"/>
          <w:szCs w:val="28"/>
          <w:highlight w:val="none"/>
        </w:rPr>
      </w:pPr>
    </w:p>
    <w:p w14:paraId="587186F2">
      <w:pPr>
        <w:jc w:val="center"/>
        <w:rPr>
          <w:rFonts w:ascii="仿宋" w:hAnsi="仿宋" w:eastAsia="仿宋" w:cs="仿宋"/>
          <w:b/>
          <w:sz w:val="40"/>
          <w:szCs w:val="40"/>
          <w:highlight w:val="none"/>
        </w:rPr>
      </w:pPr>
      <w:r>
        <w:rPr>
          <w:rFonts w:hint="eastAsia" w:ascii="仿宋" w:hAnsi="仿宋" w:eastAsia="仿宋" w:cs="仿宋"/>
          <w:b/>
          <w:sz w:val="40"/>
          <w:szCs w:val="40"/>
          <w:highlight w:val="none"/>
        </w:rPr>
        <w:t>（示范文本仅供参考）</w:t>
      </w:r>
    </w:p>
    <w:p w14:paraId="11BD7C25">
      <w:pPr>
        <w:jc w:val="center"/>
        <w:rPr>
          <w:rFonts w:ascii="仿宋" w:hAnsi="仿宋" w:eastAsia="仿宋" w:cs="仿宋"/>
          <w:b/>
          <w:sz w:val="40"/>
          <w:szCs w:val="40"/>
          <w:highlight w:val="none"/>
        </w:rPr>
      </w:pPr>
    </w:p>
    <w:p w14:paraId="6D04B2AF">
      <w:pPr>
        <w:rPr>
          <w:rFonts w:ascii="仿宋" w:hAnsi="仿宋" w:eastAsia="仿宋" w:cs="仿宋"/>
          <w:sz w:val="22"/>
          <w:szCs w:val="28"/>
          <w:highlight w:val="none"/>
        </w:rPr>
      </w:pPr>
    </w:p>
    <w:p w14:paraId="316D7AF6">
      <w:pPr>
        <w:jc w:val="center"/>
        <w:rPr>
          <w:rFonts w:ascii="仿宋" w:hAnsi="仿宋" w:eastAsia="仿宋" w:cs="仿宋"/>
          <w:b/>
          <w:sz w:val="40"/>
          <w:szCs w:val="40"/>
          <w:highlight w:val="none"/>
        </w:rPr>
      </w:pPr>
    </w:p>
    <w:p w14:paraId="234AE05F">
      <w:pPr>
        <w:spacing w:before="156" w:beforeLines="50" w:line="360" w:lineRule="auto"/>
        <w:rPr>
          <w:rFonts w:ascii="仿宋" w:hAnsi="仿宋" w:eastAsia="仿宋" w:cs="仿宋"/>
          <w:b/>
          <w:bCs/>
          <w:sz w:val="40"/>
          <w:szCs w:val="40"/>
          <w:highlight w:val="none"/>
        </w:rPr>
      </w:pPr>
    </w:p>
    <w:p w14:paraId="6F13C5AC">
      <w:pPr>
        <w:spacing w:before="156" w:beforeLines="50" w:line="360" w:lineRule="auto"/>
        <w:ind w:firstLine="1420" w:firstLineChars="393"/>
        <w:jc w:val="left"/>
        <w:rPr>
          <w:rFonts w:ascii="仿宋" w:hAnsi="仿宋" w:eastAsia="仿宋" w:cs="仿宋"/>
          <w:b/>
          <w:bCs/>
          <w:sz w:val="36"/>
          <w:szCs w:val="36"/>
          <w:highlight w:val="none"/>
        </w:rPr>
      </w:pPr>
      <w:r>
        <w:rPr>
          <w:rFonts w:hint="eastAsia" w:ascii="仿宋" w:hAnsi="仿宋" w:eastAsia="仿宋" w:cs="仿宋"/>
          <w:b/>
          <w:bCs/>
          <w:sz w:val="36"/>
          <w:szCs w:val="36"/>
          <w:highlight w:val="none"/>
        </w:rPr>
        <w:t>采  购  人：</w:t>
      </w:r>
      <w:r>
        <w:rPr>
          <w:rFonts w:hint="eastAsia" w:ascii="仿宋" w:hAnsi="仿宋" w:eastAsia="仿宋" w:cs="仿宋"/>
          <w:b/>
          <w:bCs/>
          <w:sz w:val="36"/>
          <w:szCs w:val="36"/>
          <w:highlight w:val="none"/>
          <w:u w:val="single"/>
        </w:rPr>
        <w:t xml:space="preserve"> 渭南师范学院     </w:t>
      </w:r>
    </w:p>
    <w:p w14:paraId="1D894BCF">
      <w:pPr>
        <w:spacing w:before="156" w:beforeLines="50" w:line="360" w:lineRule="auto"/>
        <w:ind w:firstLine="1420" w:firstLineChars="393"/>
        <w:jc w:val="left"/>
        <w:rPr>
          <w:rFonts w:ascii="仿宋" w:hAnsi="仿宋" w:eastAsia="仿宋" w:cs="仿宋"/>
          <w:sz w:val="36"/>
          <w:szCs w:val="36"/>
          <w:highlight w:val="none"/>
          <w:u w:val="single"/>
        </w:rPr>
      </w:pPr>
      <w:r>
        <w:rPr>
          <w:rFonts w:hint="eastAsia" w:ascii="仿宋" w:hAnsi="仿宋" w:eastAsia="仿宋" w:cs="仿宋"/>
          <w:b/>
          <w:bCs/>
          <w:sz w:val="36"/>
          <w:szCs w:val="36"/>
          <w:highlight w:val="none"/>
        </w:rPr>
        <w:t>中  标  人：</w:t>
      </w:r>
      <w:r>
        <w:rPr>
          <w:rFonts w:hint="eastAsia" w:ascii="仿宋" w:hAnsi="仿宋" w:eastAsia="仿宋" w:cs="仿宋"/>
          <w:sz w:val="36"/>
          <w:szCs w:val="36"/>
          <w:highlight w:val="none"/>
          <w:u w:val="single"/>
        </w:rPr>
        <w:t xml:space="preserve">                        </w:t>
      </w:r>
    </w:p>
    <w:p w14:paraId="758CECD9">
      <w:pPr>
        <w:spacing w:before="156" w:beforeLines="50" w:line="360" w:lineRule="auto"/>
        <w:ind w:firstLine="3614" w:firstLineChars="1000"/>
        <w:jc w:val="left"/>
        <w:rPr>
          <w:rFonts w:ascii="仿宋" w:hAnsi="仿宋" w:eastAsia="仿宋" w:cs="仿宋"/>
          <w:b/>
          <w:bCs/>
          <w:sz w:val="28"/>
          <w:szCs w:val="28"/>
          <w:highlight w:val="none"/>
        </w:rPr>
      </w:pPr>
      <w:r>
        <w:rPr>
          <w:rFonts w:hint="eastAsia" w:ascii="仿宋" w:hAnsi="仿宋" w:eastAsia="仿宋" w:cs="仿宋"/>
          <w:b/>
          <w:bCs/>
          <w:sz w:val="36"/>
          <w:szCs w:val="36"/>
          <w:highlight w:val="none"/>
        </w:rPr>
        <w:t>二〇二六年  月</w:t>
      </w:r>
      <w:r>
        <w:rPr>
          <w:rFonts w:hint="eastAsia" w:ascii="仿宋" w:hAnsi="仿宋" w:eastAsia="仿宋" w:cs="仿宋"/>
          <w:b/>
          <w:bCs/>
          <w:sz w:val="40"/>
          <w:szCs w:val="40"/>
          <w:highlight w:val="none"/>
        </w:rPr>
        <w:br w:type="page"/>
      </w:r>
    </w:p>
    <w:p w14:paraId="489A5E84">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甲方：</w:t>
      </w:r>
      <w:r>
        <w:rPr>
          <w:rFonts w:hint="eastAsia" w:ascii="仿宋" w:hAnsi="仿宋" w:eastAsia="仿宋" w:cs="仿宋"/>
          <w:szCs w:val="21"/>
          <w:highlight w:val="none"/>
          <w:u w:val="single"/>
        </w:rPr>
        <w:t xml:space="preserve"> 渭南师范学院  </w:t>
      </w:r>
    </w:p>
    <w:p w14:paraId="2964AD0D">
      <w:pPr>
        <w:adjustRightInd w:val="0"/>
        <w:snapToGrid w:val="0"/>
        <w:spacing w:line="360" w:lineRule="auto"/>
        <w:ind w:firstLine="420" w:firstLineChars="200"/>
        <w:jc w:val="left"/>
        <w:rPr>
          <w:rFonts w:ascii="仿宋" w:hAnsi="仿宋" w:eastAsia="仿宋" w:cs="仿宋"/>
          <w:kern w:val="0"/>
          <w:szCs w:val="21"/>
          <w:highlight w:val="none"/>
          <w:u w:val="single"/>
        </w:rPr>
      </w:pPr>
      <w:r>
        <w:rPr>
          <w:rFonts w:hint="eastAsia" w:ascii="仿宋" w:hAnsi="仿宋" w:eastAsia="仿宋" w:cs="仿宋"/>
          <w:szCs w:val="21"/>
          <w:highlight w:val="none"/>
        </w:rPr>
        <w:t>乙方：</w:t>
      </w:r>
      <w:r>
        <w:rPr>
          <w:rFonts w:hint="eastAsia" w:ascii="仿宋" w:hAnsi="仿宋" w:eastAsia="仿宋" w:cs="仿宋"/>
          <w:kern w:val="0"/>
          <w:szCs w:val="21"/>
          <w:highlight w:val="none"/>
          <w:u w:val="single"/>
        </w:rPr>
        <w:t xml:space="preserve">                        </w:t>
      </w:r>
    </w:p>
    <w:p w14:paraId="731D9E26">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bCs/>
          <w:szCs w:val="21"/>
          <w:highlight w:val="none"/>
          <w:u w:val="single"/>
          <w:lang w:eastAsia="zh-CN"/>
        </w:rPr>
        <w:t>数字媒体工坊项目（三次）</w:t>
      </w:r>
      <w:r>
        <w:rPr>
          <w:rFonts w:hint="eastAsia" w:ascii="仿宋" w:hAnsi="仿宋" w:eastAsia="仿宋" w:cs="仿宋"/>
          <w:bCs/>
          <w:szCs w:val="21"/>
          <w:highlight w:val="none"/>
        </w:rPr>
        <w:t>，由</w:t>
      </w:r>
      <w:r>
        <w:rPr>
          <w:rFonts w:hint="eastAsia" w:ascii="仿宋" w:hAnsi="仿宋" w:eastAsia="仿宋" w:cs="仿宋"/>
          <w:bCs/>
          <w:szCs w:val="21"/>
          <w:highlight w:val="none"/>
          <w:u w:val="single"/>
        </w:rPr>
        <w:t>陕西德仁招标有限公司</w:t>
      </w:r>
      <w:r>
        <w:rPr>
          <w:rFonts w:hint="eastAsia" w:ascii="仿宋" w:hAnsi="仿宋" w:eastAsia="仿宋" w:cs="仿宋"/>
          <w:bCs/>
          <w:szCs w:val="21"/>
          <w:highlight w:val="none"/>
        </w:rPr>
        <w:t>组织招标采购，选定</w:t>
      </w:r>
      <w:r>
        <w:rPr>
          <w:rFonts w:hint="eastAsia" w:ascii="仿宋" w:hAnsi="仿宋" w:eastAsia="仿宋" w:cs="仿宋"/>
          <w:kern w:val="0"/>
          <w:szCs w:val="21"/>
          <w:highlight w:val="none"/>
          <w:u w:val="single"/>
        </w:rPr>
        <w:t xml:space="preserve">       </w:t>
      </w:r>
      <w:r>
        <w:rPr>
          <w:rFonts w:hint="eastAsia" w:ascii="仿宋" w:hAnsi="仿宋" w:eastAsia="仿宋" w:cs="仿宋"/>
          <w:szCs w:val="21"/>
          <w:highlight w:val="none"/>
        </w:rPr>
        <w:t>为供货单位。经</w:t>
      </w:r>
      <w:r>
        <w:rPr>
          <w:rFonts w:hint="eastAsia" w:ascii="仿宋" w:hAnsi="仿宋" w:eastAsia="仿宋" w:cs="仿宋"/>
          <w:szCs w:val="21"/>
          <w:highlight w:val="none"/>
          <w:u w:val="single"/>
        </w:rPr>
        <w:t>渭南师范学院</w:t>
      </w:r>
      <w:r>
        <w:rPr>
          <w:rFonts w:hint="eastAsia" w:ascii="仿宋" w:hAnsi="仿宋" w:eastAsia="仿宋" w:cs="仿宋"/>
          <w:szCs w:val="21"/>
          <w:highlight w:val="none"/>
        </w:rPr>
        <w:t>（以下简称甲方）与</w:t>
      </w:r>
      <w:r>
        <w:rPr>
          <w:rFonts w:hint="eastAsia" w:ascii="仿宋" w:hAnsi="仿宋" w:eastAsia="仿宋" w:cs="仿宋"/>
          <w:kern w:val="0"/>
          <w:szCs w:val="21"/>
          <w:highlight w:val="none"/>
          <w:u w:val="single"/>
        </w:rPr>
        <w:t xml:space="preserve">        </w:t>
      </w:r>
      <w:r>
        <w:rPr>
          <w:rFonts w:hint="eastAsia" w:ascii="仿宋" w:hAnsi="仿宋" w:eastAsia="仿宋" w:cs="仿宋"/>
          <w:szCs w:val="21"/>
          <w:highlight w:val="none"/>
        </w:rPr>
        <w:t>（以下简称乙方）共同协商，达成以下协议条款。</w:t>
      </w:r>
    </w:p>
    <w:p w14:paraId="4E6320DE">
      <w:pPr>
        <w:adjustRightInd w:val="0"/>
        <w:snapToGrid w:val="0"/>
        <w:spacing w:line="360" w:lineRule="auto"/>
        <w:ind w:firstLine="422" w:firstLineChars="200"/>
        <w:jc w:val="left"/>
        <w:rPr>
          <w:rFonts w:ascii="仿宋" w:hAnsi="仿宋" w:eastAsia="仿宋" w:cs="仿宋"/>
          <w:bCs/>
          <w:szCs w:val="21"/>
          <w:highlight w:val="none"/>
        </w:rPr>
      </w:pPr>
      <w:r>
        <w:rPr>
          <w:rFonts w:hint="eastAsia" w:ascii="仿宋" w:hAnsi="仿宋" w:eastAsia="仿宋" w:cs="仿宋"/>
          <w:b/>
          <w:szCs w:val="21"/>
          <w:highlight w:val="none"/>
        </w:rPr>
        <w:t>第一条  协议内容</w:t>
      </w:r>
      <w:r>
        <w:rPr>
          <w:rFonts w:hint="eastAsia" w:ascii="仿宋" w:hAnsi="仿宋" w:eastAsia="仿宋" w:cs="仿宋"/>
          <w:bCs/>
          <w:szCs w:val="21"/>
          <w:highlight w:val="none"/>
        </w:rPr>
        <w:t>（技术指标见附件）</w:t>
      </w:r>
    </w:p>
    <w:p w14:paraId="03936B1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一）乙方负责按协议中确定的货物品牌、规格、型号、数量、原产地及配套内容进行供货；按时运到甲方指定的交货地点，负责货物到货后搬运工作，达到正常使用；负责为甲方进行培训，指导操作使用，做好售后服务。</w:t>
      </w:r>
    </w:p>
    <w:p w14:paraId="153A618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 xml:space="preserve">（二）招标文件、乙方的投标文件及投标过程中的澄清、承诺内容均作为协议的组成部分，具有同等法律效力。 </w:t>
      </w:r>
    </w:p>
    <w:p w14:paraId="62F9F528">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第二条  合同价款（币种：人民币  单位：元）</w:t>
      </w:r>
    </w:p>
    <w:p w14:paraId="39719373">
      <w:pPr>
        <w:adjustRightInd w:val="0"/>
        <w:snapToGrid w:val="0"/>
        <w:spacing w:line="360" w:lineRule="auto"/>
        <w:ind w:firstLine="415" w:firstLineChars="198"/>
        <w:rPr>
          <w:rFonts w:ascii="仿宋" w:hAnsi="仿宋" w:eastAsia="仿宋" w:cs="仿宋"/>
          <w:szCs w:val="21"/>
          <w:highlight w:val="none"/>
        </w:rPr>
      </w:pPr>
      <w:r>
        <w:rPr>
          <w:rFonts w:hint="eastAsia" w:ascii="仿宋" w:hAnsi="仿宋" w:eastAsia="仿宋" w:cs="仿宋"/>
          <w:szCs w:val="21"/>
          <w:highlight w:val="none"/>
        </w:rPr>
        <w:t>（一）合同金额（大写）：</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226C8B6F">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（二）货物品牌、规格、产地、单价：详见附件 供货清单。</w:t>
      </w:r>
    </w:p>
    <w:p w14:paraId="3FDFF2A1">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三）中标人负责办理将货物或服务运抵交货服务地点的一切事项，并完成与合同履约相关的工作。凡涉及的包装、运输、安装调试、培训、税金、售后服务、调试、接口开发、设备接入、测评、验收等，所有费用一次性计入投标总价。合同履约过程中采购人不再支付其他额外费用。</w:t>
      </w:r>
    </w:p>
    <w:p w14:paraId="6001D704">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第三条  款项结算</w:t>
      </w:r>
    </w:p>
    <w:p w14:paraId="7340F20B">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（一）支付约定：</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 xml:space="preserve"> </w:t>
      </w:r>
    </w:p>
    <w:p w14:paraId="6FFA3D55">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（二）</w:t>
      </w:r>
      <w:r>
        <w:rPr>
          <w:rFonts w:hint="eastAsia" w:ascii="仿宋" w:hAnsi="仿宋" w:eastAsia="仿宋" w:cs="仿宋"/>
          <w:bCs/>
          <w:szCs w:val="21"/>
          <w:highlight w:val="none"/>
          <w:lang w:val="en-US" w:eastAsia="zh-CN"/>
        </w:rPr>
        <w:t>其他要求：</w:t>
      </w:r>
      <w:r>
        <w:rPr>
          <w:rFonts w:hint="eastAsia" w:ascii="仿宋" w:hAnsi="仿宋" w:eastAsia="仿宋" w:cs="仿宋"/>
          <w:bCs/>
          <w:szCs w:val="21"/>
          <w:highlight w:val="none"/>
          <w:u w:val="single"/>
        </w:rPr>
        <w:t xml:space="preserve">                       </w:t>
      </w:r>
    </w:p>
    <w:p w14:paraId="719C71C1">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第四条  双方的权利和义务</w:t>
      </w:r>
    </w:p>
    <w:p w14:paraId="53866DE5">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（一）甲方的权利和义务</w:t>
      </w:r>
    </w:p>
    <w:p w14:paraId="071D4F4F">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1.负责合同签订后项目实施的工作（如与乙方的具体联系和衔接，现场安装调试时配备人员进行监管控制）；</w:t>
      </w:r>
    </w:p>
    <w:p w14:paraId="0DBE87FD">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2.负责提供货物和项目安装调试所必须的场地和环境；</w:t>
      </w:r>
    </w:p>
    <w:p w14:paraId="7ECCC435">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3.负责组织成立验收小组对货物和项目进行验收并签署验收报告；</w:t>
      </w:r>
    </w:p>
    <w:p w14:paraId="52AE6B82">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4.按合同规定享有乙方提供的货物服务。</w:t>
      </w:r>
    </w:p>
    <w:p w14:paraId="71D49277">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（二）乙方的权利和义务</w:t>
      </w:r>
    </w:p>
    <w:p w14:paraId="263166DB">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1.乙方保证按本合同一、二、三、四条款负责完成甲方项目，并保证提供的货物是全新（包括零部件）、符合招标文件规定、具有国家有关部门注册并符合国家质量检测标准和产品出厂标准的货物。</w:t>
      </w:r>
    </w:p>
    <w:p w14:paraId="723D7217">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2.售后服务要求：（1）质保期内，标的软件系统均要求提供至少3年免费升级和维修响应时间不超过48小时，软件24小时连续运行无故障，一周免费的示范操作和实验课程培训服务；（2）标的硬件要求提供至少3年免费和维修响应时间不超过48小时，每种设备一周免费的操作和实验课程培训服务。提供每种设备配套相关操作视频及教学资源。（3）质保期结束后，乙方须承诺向甲方提供终身维修服务，仅收取材料成本费。</w:t>
      </w:r>
    </w:p>
    <w:p w14:paraId="5E92FEEE">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3.乙方保证向甲方提供的货物不受第三方提出侵犯其所有权、用益物权、担保物权、占有等一切涉及物权及知识产权、商标权、专利权、著作权等相关权利的起诉，否则承担给甲方造成的一切损失（包括且不限于为实现权利而产生的立案费、律师费、差旅费、担保费等）。</w:t>
      </w:r>
    </w:p>
    <w:p w14:paraId="3B1B91AD">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4.严格遵守承诺的一切规定和条款；</w:t>
      </w:r>
    </w:p>
    <w:p w14:paraId="3799629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5.参与甲方共同进行货物和项目的验收。</w:t>
      </w:r>
    </w:p>
    <w:p w14:paraId="38C98C5E">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第五条  交货条件</w:t>
      </w:r>
    </w:p>
    <w:p w14:paraId="1A351F75">
      <w:pPr>
        <w:adjustRightInd w:val="0"/>
        <w:snapToGrid w:val="0"/>
        <w:spacing w:line="360" w:lineRule="auto"/>
        <w:ind w:firstLine="420" w:firstLineChars="200"/>
        <w:jc w:val="left"/>
        <w:rPr>
          <w:rFonts w:ascii="仿宋" w:hAnsi="仿宋" w:eastAsia="仿宋" w:cs="仿宋"/>
          <w:bCs/>
          <w:szCs w:val="21"/>
          <w:highlight w:val="none"/>
          <w:u w:val="single"/>
        </w:rPr>
      </w:pPr>
      <w:r>
        <w:rPr>
          <w:rFonts w:hint="eastAsia" w:ascii="仿宋" w:hAnsi="仿宋" w:eastAsia="仿宋" w:cs="仿宋"/>
          <w:bCs/>
          <w:szCs w:val="21"/>
          <w:highlight w:val="none"/>
        </w:rPr>
        <w:t>（一）交货地点：</w:t>
      </w:r>
      <w:r>
        <w:rPr>
          <w:rFonts w:hint="eastAsia" w:ascii="仿宋" w:hAnsi="仿宋" w:eastAsia="仿宋" w:cs="仿宋"/>
          <w:bCs/>
          <w:szCs w:val="21"/>
          <w:highlight w:val="none"/>
          <w:u w:val="single"/>
        </w:rPr>
        <w:t xml:space="preserve">            </w:t>
      </w:r>
    </w:p>
    <w:p w14:paraId="653044F1">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乙方应随同货物提供相应的中文技术文件（包括合格证明、货物清单、使用说明等），现场搬运至甲方指定位置。</w:t>
      </w:r>
    </w:p>
    <w:p w14:paraId="43261D15">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rPr>
        <w:t>（二）交货期：</w:t>
      </w:r>
      <w:r>
        <w:rPr>
          <w:rFonts w:hint="eastAsia" w:ascii="仿宋" w:hAnsi="仿宋" w:eastAsia="仿宋" w:cs="仿宋"/>
          <w:szCs w:val="21"/>
          <w:highlight w:val="none"/>
          <w:u w:val="single"/>
        </w:rPr>
        <w:t xml:space="preserve">            </w:t>
      </w:r>
    </w:p>
    <w:p w14:paraId="261E4432">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第六条  质量保修范围和保修期</w:t>
      </w:r>
    </w:p>
    <w:p w14:paraId="68A60FEE">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1、质保期：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。保修期内</w:t>
      </w:r>
      <w:r>
        <w:rPr>
          <w:rFonts w:hint="eastAsia" w:ascii="仿宋" w:hAnsi="仿宋" w:eastAsia="仿宋" w:cs="仿宋"/>
          <w:bCs/>
          <w:szCs w:val="21"/>
          <w:highlight w:val="none"/>
        </w:rPr>
        <w:t>软件免费升级、硬件免费维修</w:t>
      </w:r>
      <w:r>
        <w:rPr>
          <w:rFonts w:hint="eastAsia" w:ascii="仿宋" w:hAnsi="仿宋" w:eastAsia="仿宋" w:cs="仿宋"/>
          <w:szCs w:val="21"/>
          <w:highlight w:val="none"/>
        </w:rPr>
        <w:t>。</w:t>
      </w:r>
    </w:p>
    <w:p w14:paraId="4FFDED4E">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2、货物的质量技术标准按国家法律法规规定的合格标准、招标文件要求的技术标准执行。乙方提供的货物，均应按照标准保护措施进行包装。应适应于远距离运输、防潮、防震、防锈和防野蛮装卸，以确保耗材安全无损抵达制定地点。</w:t>
      </w:r>
    </w:p>
    <w:p w14:paraId="139A1A9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szCs w:val="21"/>
          <w:highlight w:val="none"/>
        </w:rPr>
        <w:t>3、如因乙方货物质量问题的原因，导致甲方损失，乙方应予以赔偿。</w:t>
      </w:r>
    </w:p>
    <w:p w14:paraId="1765BCBA">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第七条  运输</w:t>
      </w:r>
    </w:p>
    <w:p w14:paraId="6715AB7D">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（一）运输由乙方负责，运杂费包含在货物协议价内，包括但不限于货物运输所含的运输费、装卸费、仓储费、保险费等。</w:t>
      </w:r>
    </w:p>
    <w:p w14:paraId="2DD6C224">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（二）乙方保证货物安全、按期运送到达甲方指定交货地点，在交付甲方前发生的不可预见的风险均由乙方承担。</w:t>
      </w:r>
    </w:p>
    <w:p w14:paraId="5DEBA55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（三）涉及的商品包装和快递包装，均应符合《商品包装政府采购需求标准（试行）》《快递包装政府采购需求标准（试行）》的要求，以确保货物安全无损运抵交货地点。</w:t>
      </w:r>
    </w:p>
    <w:p w14:paraId="3789C926">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第八条  乙方质量保证</w:t>
      </w:r>
    </w:p>
    <w:p w14:paraId="27519FA3">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（一）乙方所供货物保证技术指标符合要求、质量性能可靠、进货渠道正常，全面满足招标文件要求。</w:t>
      </w:r>
    </w:p>
    <w:p w14:paraId="46D434F2">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（二）乙方所供货物如出现质量问题，可以选择换货。</w:t>
      </w:r>
    </w:p>
    <w:p w14:paraId="4C57419C">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第九条  乙方免费提供技术服务</w:t>
      </w:r>
    </w:p>
    <w:p w14:paraId="72D516AB">
      <w:pPr>
        <w:adjustRightInd w:val="0"/>
        <w:snapToGrid w:val="0"/>
        <w:spacing w:line="360" w:lineRule="auto"/>
        <w:ind w:firstLine="420" w:firstLineChars="200"/>
        <w:jc w:val="left"/>
        <w:rPr>
          <w:rFonts w:ascii="仿宋" w:hAnsi="仿宋" w:eastAsia="仿宋" w:cs="仿宋"/>
          <w:szCs w:val="21"/>
          <w:highlight w:val="none"/>
        </w:rPr>
      </w:pPr>
      <w:r>
        <w:rPr>
          <w:rFonts w:ascii="仿宋" w:hAnsi="仿宋" w:eastAsia="仿宋" w:cs="仿宋"/>
          <w:szCs w:val="21"/>
          <w:highlight w:val="none"/>
        </w:rPr>
        <w:t>（一）</w:t>
      </w:r>
      <w:r>
        <w:rPr>
          <w:rFonts w:hint="eastAsia" w:ascii="仿宋" w:hAnsi="仿宋" w:eastAsia="仿宋" w:cs="仿宋"/>
          <w:szCs w:val="21"/>
          <w:highlight w:val="none"/>
        </w:rPr>
        <w:t>乙方交货时需同时交付的技术资料</w:t>
      </w:r>
    </w:p>
    <w:p w14:paraId="35C0318A">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1、货物合格证明；</w:t>
      </w:r>
    </w:p>
    <w:p w14:paraId="4A91451F">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2、货物使用说明书（中文）；</w:t>
      </w:r>
    </w:p>
    <w:p w14:paraId="01B1D023">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3、运输记录；</w:t>
      </w:r>
    </w:p>
    <w:p w14:paraId="5191D571">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4、其他资料。</w:t>
      </w:r>
    </w:p>
    <w:p w14:paraId="08687F2F">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（二）服务承诺</w:t>
      </w:r>
    </w:p>
    <w:p w14:paraId="45855FC9">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szCs w:val="21"/>
          <w:highlight w:val="none"/>
        </w:rPr>
        <w:t>1、</w:t>
      </w:r>
      <w:r>
        <w:rPr>
          <w:rFonts w:hint="eastAsia" w:ascii="仿宋" w:hAnsi="仿宋" w:eastAsia="仿宋" w:cs="仿宋"/>
          <w:bCs/>
          <w:szCs w:val="21"/>
          <w:highlight w:val="none"/>
        </w:rPr>
        <w:t>在接到甲方的服务或咨询请求后乙方技术或有关人员须在</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小时之内到达甲方相关科室。乙方接到甲方通知后，未在约定时间答复或者进行处理的，甲方可自行组织解决，因此产生的费用由乙方承担。</w:t>
      </w:r>
    </w:p>
    <w:p w14:paraId="2E7EF99F">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2、乙方在装卸货物、调试、维修服务过程发生的乙方工作人员、雇员人身损害及造成的安全事故，均由乙方承担，与甲方无关。</w:t>
      </w:r>
    </w:p>
    <w:p w14:paraId="69301DFF">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第十条  其它约定</w:t>
      </w:r>
    </w:p>
    <w:p w14:paraId="61EF6DCD">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1、保密要求：</w:t>
      </w:r>
    </w:p>
    <w:p w14:paraId="38AC07AE">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供应商应保证对采购人提供的资料，以及对项目实施过程中知悉的秘密（包括不限于国家秘密、科研秘密、商业秘密、群众个人信息等所有秘密）履行保密义务，不得就所涉及的秘密及敏感信息以单位或者个人名义公开披露和公开发表观点</w:t>
      </w:r>
    </w:p>
    <w:p w14:paraId="30E4EC2E">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2、若可能发生涉及货物质量的纠纷，甲方有权冻结乙方的未付货款，乙方有责任和义务解决因货物质量引起的不良事件。</w:t>
      </w:r>
    </w:p>
    <w:p w14:paraId="335755D7">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第十一条  违约责任</w:t>
      </w:r>
    </w:p>
    <w:p w14:paraId="1BAC901E">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除发生不可抗力事实外，乙方交付成果与合同标准不相符合的，甲方有权拒绝验收；逾期交付将向甲方每日偿付合同总额千分之一的违约金，逾期交付超过30个日历天的，甲方有权单方面解除合同。因乙方超过30个日历天交付或交付成果与合同标准不符致使甲方解除合同的，乙方应承担合同总额10%的违约金，若违约金不足以弥补甲方损失的，甲方有权要求乙方赔偿损失。甲方有权拒付合同价款以外的其他任何费用。因乙方违约导致甲方因诉讼、维权而产生的立案费、律师费、交通费、保全费等均由乙方负责。</w:t>
      </w:r>
    </w:p>
    <w:p w14:paraId="28B04748">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第十二条  不可抗力</w:t>
      </w:r>
    </w:p>
    <w:p w14:paraId="366A4526">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（一）本协议不可抗力指地震、台风、火灾、战争、罢工以及其他双方不能预见、不能避免并不能克服的客观情况。</w:t>
      </w:r>
    </w:p>
    <w:p w14:paraId="42CBD23C">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（二）由于不可抗力致使协议无法正常履行的，受不可抗力影响一方应立即将不能履行本协议的事实书面通知对方，乙方负责按照甲方要求应急解决。</w:t>
      </w:r>
    </w:p>
    <w:p w14:paraId="5F9B041B">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（三）本协议在不可抗力影响范围及其持续期间内将中止履行，双方无需承担违约责任。</w:t>
      </w:r>
    </w:p>
    <w:p w14:paraId="7B9DC623">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（四）一方迟延履行后发生不可抗力的，不能免除责任。</w:t>
      </w:r>
    </w:p>
    <w:p w14:paraId="46F9E695">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第十三条  验收</w:t>
      </w:r>
    </w:p>
    <w:p w14:paraId="44C531B9">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执行国家及教育行业标准规范、合同、招标文件及投标文件条款，达到验收合格标准。</w:t>
      </w:r>
    </w:p>
    <w:p w14:paraId="6D274FB3">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1.采购设备软件满足技术及合同要求，功能及质量不低于国家、行业标准。</w:t>
      </w:r>
    </w:p>
    <w:p w14:paraId="3AAB875B">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2.设备软件运行正常，完成部署，功能达到使用要求。</w:t>
      </w:r>
    </w:p>
    <w:p w14:paraId="511A6397">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3.设备软件符合甲方教育教学使用要求，符合国家及行业标准。</w:t>
      </w:r>
    </w:p>
    <w:p w14:paraId="396850EB">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4.如甲方发现设备软件有任何问题，乙方必须立即在使用方规定的时间内（3天内）免费更换，确保其使用。</w:t>
      </w:r>
    </w:p>
    <w:p w14:paraId="4254F8CA">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5.验收前完成对应产品、系统、平台的师资培训服务，提供配套产品、系统、平台的教学资源、教学素材等。</w:t>
      </w:r>
    </w:p>
    <w:p w14:paraId="640FC4D8">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第十四条  协议争议解决的方式</w:t>
      </w:r>
    </w:p>
    <w:p w14:paraId="704DED9A">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本协议在履行过程中发生的争议，由甲、乙双方当事人协商解决；协商不成的，任意一方应向甲方所在地人民法院起诉。</w:t>
      </w:r>
    </w:p>
    <w:p w14:paraId="21608595">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第十五条  其他事项</w:t>
      </w:r>
    </w:p>
    <w:p w14:paraId="2052480B">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（一）招标文件、投标文件、澄清表（函）、协议附件均为协议不可分割的部分。</w:t>
      </w:r>
    </w:p>
    <w:p w14:paraId="718F27A1">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（二）对本协议条款的任何变更、修改或增减，须经双方协商同意后签署补充协议，该补充协议作为本协议的组成部分并具有同等效力。</w:t>
      </w:r>
    </w:p>
    <w:p w14:paraId="22DB5D97">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（三）本协议一式</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份。甲方执</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份，乙方执</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份。自甲乙双方法定代表人或者委托代理人签字并加盖公章后生效，协议执行完毕自动失效。（协议的服务承诺仍然有效）。传真件具有同等法律效力。</w:t>
      </w:r>
    </w:p>
    <w:p w14:paraId="49FD2406">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（四）本协议约定的地址为双方有效送达地址，任意一方发生变更的，应当在变更之日起2日内向另一方通知，未通知另一方的，另一方按照约定地址发出的信件自发出之日起7日内视为有效送达。有效送达。</w:t>
      </w:r>
    </w:p>
    <w:p w14:paraId="28FC2A50">
      <w:pPr>
        <w:rPr>
          <w:rFonts w:ascii="仿宋" w:hAnsi="仿宋" w:eastAsia="仿宋" w:cs="仿宋"/>
          <w:szCs w:val="21"/>
          <w:highlight w:val="none"/>
        </w:rPr>
      </w:pPr>
      <w:r>
        <w:rPr>
          <w:rFonts w:hint="eastAsia" w:ascii="仿宋" w:hAnsi="仿宋" w:eastAsia="仿宋" w:cs="仿宋"/>
          <w:szCs w:val="21"/>
          <w:highlight w:val="none"/>
        </w:rPr>
        <w:br w:type="page"/>
      </w:r>
    </w:p>
    <w:p w14:paraId="49132F68">
      <w:pPr>
        <w:adjustRightInd w:val="0"/>
        <w:snapToGrid w:val="0"/>
        <w:spacing w:line="360" w:lineRule="auto"/>
        <w:ind w:firstLine="420" w:firstLineChars="200"/>
        <w:jc w:val="left"/>
        <w:rPr>
          <w:rFonts w:ascii="仿宋" w:hAnsi="仿宋" w:eastAsia="仿宋" w:cs="仿宋"/>
          <w:szCs w:val="21"/>
          <w:highlight w:val="none"/>
        </w:rPr>
      </w:pP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 w:type="dxa"/>
          <w:bottom w:w="0" w:type="dxa"/>
          <w:right w:w="11" w:type="dxa"/>
        </w:tblCellMar>
      </w:tblPr>
      <w:tblGrid>
        <w:gridCol w:w="1414"/>
        <w:gridCol w:w="2745"/>
        <w:gridCol w:w="1441"/>
        <w:gridCol w:w="2725"/>
      </w:tblGrid>
      <w:tr w14:paraId="17F0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90" w:hRule="atLeast"/>
        </w:trPr>
        <w:tc>
          <w:tcPr>
            <w:tcW w:w="849" w:type="pct"/>
            <w:vAlign w:val="center"/>
          </w:tcPr>
          <w:p w14:paraId="03A5D14E">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甲方（公章）：</w:t>
            </w:r>
          </w:p>
        </w:tc>
        <w:tc>
          <w:tcPr>
            <w:tcW w:w="1648" w:type="pct"/>
            <w:vAlign w:val="center"/>
          </w:tcPr>
          <w:p w14:paraId="33E7B2B7">
            <w:pPr>
              <w:spacing w:line="400" w:lineRule="exact"/>
              <w:jc w:val="center"/>
              <w:rPr>
                <w:rFonts w:ascii="仿宋" w:hAnsi="仿宋" w:eastAsia="仿宋" w:cs="仿宋"/>
                <w:szCs w:val="21"/>
                <w:highlight w:val="none"/>
              </w:rPr>
            </w:pPr>
          </w:p>
        </w:tc>
        <w:tc>
          <w:tcPr>
            <w:tcW w:w="865" w:type="pct"/>
            <w:vAlign w:val="center"/>
          </w:tcPr>
          <w:p w14:paraId="61165ECB">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乙方：（公章）</w:t>
            </w:r>
          </w:p>
        </w:tc>
        <w:tc>
          <w:tcPr>
            <w:tcW w:w="1636" w:type="pct"/>
            <w:vAlign w:val="center"/>
          </w:tcPr>
          <w:p w14:paraId="36F99B81">
            <w:pPr>
              <w:spacing w:line="400" w:lineRule="exact"/>
              <w:jc w:val="center"/>
              <w:rPr>
                <w:rFonts w:ascii="仿宋" w:hAnsi="仿宋" w:eastAsia="仿宋" w:cs="仿宋"/>
                <w:kern w:val="0"/>
                <w:szCs w:val="21"/>
                <w:highlight w:val="none"/>
                <w:u w:val="single"/>
              </w:rPr>
            </w:pPr>
          </w:p>
        </w:tc>
      </w:tr>
      <w:tr w14:paraId="6AF30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75" w:hRule="atLeast"/>
        </w:trPr>
        <w:tc>
          <w:tcPr>
            <w:tcW w:w="849" w:type="pct"/>
            <w:vAlign w:val="center"/>
          </w:tcPr>
          <w:p w14:paraId="7D7E4E42">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地址：</w:t>
            </w:r>
          </w:p>
        </w:tc>
        <w:tc>
          <w:tcPr>
            <w:tcW w:w="1648" w:type="pct"/>
            <w:vAlign w:val="center"/>
          </w:tcPr>
          <w:p w14:paraId="7FF0B672">
            <w:pPr>
              <w:spacing w:line="400" w:lineRule="exact"/>
              <w:jc w:val="center"/>
              <w:rPr>
                <w:rFonts w:ascii="仿宋" w:hAnsi="仿宋" w:eastAsia="仿宋" w:cs="仿宋"/>
                <w:szCs w:val="21"/>
                <w:highlight w:val="none"/>
              </w:rPr>
            </w:pPr>
          </w:p>
        </w:tc>
        <w:tc>
          <w:tcPr>
            <w:tcW w:w="865" w:type="pct"/>
            <w:vAlign w:val="center"/>
          </w:tcPr>
          <w:p w14:paraId="34EF5187">
            <w:pPr>
              <w:spacing w:line="400" w:lineRule="exact"/>
              <w:jc w:val="center"/>
              <w:rPr>
                <w:rFonts w:ascii="仿宋" w:hAnsi="仿宋" w:eastAsia="仿宋" w:cs="仿宋"/>
                <w:kern w:val="0"/>
                <w:szCs w:val="21"/>
                <w:highlight w:val="none"/>
                <w:u w:val="single"/>
              </w:rPr>
            </w:pPr>
            <w:r>
              <w:rPr>
                <w:rFonts w:hint="eastAsia" w:ascii="仿宋" w:hAnsi="仿宋" w:eastAsia="仿宋" w:cs="仿宋"/>
                <w:kern w:val="0"/>
                <w:szCs w:val="21"/>
                <w:highlight w:val="none"/>
              </w:rPr>
              <w:t>地址：</w:t>
            </w:r>
          </w:p>
        </w:tc>
        <w:tc>
          <w:tcPr>
            <w:tcW w:w="1636" w:type="pct"/>
            <w:vAlign w:val="center"/>
          </w:tcPr>
          <w:p w14:paraId="52BEF0DA">
            <w:pPr>
              <w:spacing w:line="400" w:lineRule="exact"/>
              <w:jc w:val="center"/>
              <w:rPr>
                <w:rFonts w:ascii="仿宋" w:hAnsi="仿宋" w:eastAsia="仿宋" w:cs="仿宋"/>
                <w:kern w:val="0"/>
                <w:szCs w:val="21"/>
                <w:highlight w:val="none"/>
                <w:u w:val="single"/>
              </w:rPr>
            </w:pPr>
          </w:p>
          <w:p w14:paraId="6BEC303A">
            <w:pPr>
              <w:spacing w:line="400" w:lineRule="exact"/>
              <w:jc w:val="center"/>
              <w:rPr>
                <w:rFonts w:ascii="仿宋" w:hAnsi="仿宋" w:eastAsia="仿宋" w:cs="仿宋"/>
                <w:kern w:val="0"/>
                <w:szCs w:val="21"/>
                <w:highlight w:val="none"/>
                <w:u w:val="single"/>
              </w:rPr>
            </w:pPr>
          </w:p>
        </w:tc>
      </w:tr>
      <w:tr w14:paraId="21CA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1CF54961">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法定代表人</w:t>
            </w:r>
          </w:p>
          <w:p w14:paraId="23805B86">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（委托代理人）：</w:t>
            </w:r>
          </w:p>
        </w:tc>
        <w:tc>
          <w:tcPr>
            <w:tcW w:w="1648" w:type="pct"/>
            <w:vAlign w:val="center"/>
          </w:tcPr>
          <w:p w14:paraId="402AC01C">
            <w:pPr>
              <w:spacing w:line="400" w:lineRule="exact"/>
              <w:jc w:val="center"/>
              <w:rPr>
                <w:rFonts w:ascii="仿宋" w:hAnsi="仿宋" w:eastAsia="仿宋" w:cs="仿宋"/>
                <w:szCs w:val="21"/>
                <w:highlight w:val="none"/>
              </w:rPr>
            </w:pPr>
          </w:p>
        </w:tc>
        <w:tc>
          <w:tcPr>
            <w:tcW w:w="865" w:type="pct"/>
            <w:vAlign w:val="center"/>
          </w:tcPr>
          <w:p w14:paraId="628C83D9">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法定代表人</w:t>
            </w:r>
          </w:p>
          <w:p w14:paraId="58595676">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（委托代理人）</w:t>
            </w:r>
          </w:p>
        </w:tc>
        <w:tc>
          <w:tcPr>
            <w:tcW w:w="1636" w:type="pct"/>
            <w:vAlign w:val="center"/>
          </w:tcPr>
          <w:p w14:paraId="18FC4D5B">
            <w:pPr>
              <w:spacing w:line="400" w:lineRule="exact"/>
              <w:jc w:val="center"/>
              <w:rPr>
                <w:rFonts w:ascii="仿宋" w:hAnsi="仿宋" w:eastAsia="仿宋" w:cs="仿宋"/>
                <w:szCs w:val="21"/>
                <w:highlight w:val="none"/>
              </w:rPr>
            </w:pPr>
          </w:p>
        </w:tc>
      </w:tr>
      <w:tr w14:paraId="6F23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6AB0CFD3">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联系电话：</w:t>
            </w:r>
          </w:p>
        </w:tc>
        <w:tc>
          <w:tcPr>
            <w:tcW w:w="1648" w:type="pct"/>
            <w:vAlign w:val="center"/>
          </w:tcPr>
          <w:p w14:paraId="58CB22AC">
            <w:pPr>
              <w:spacing w:line="400" w:lineRule="exact"/>
              <w:jc w:val="center"/>
              <w:rPr>
                <w:rFonts w:ascii="仿宋" w:hAnsi="仿宋" w:eastAsia="仿宋" w:cs="仿宋"/>
                <w:szCs w:val="21"/>
                <w:highlight w:val="none"/>
              </w:rPr>
            </w:pPr>
          </w:p>
        </w:tc>
        <w:tc>
          <w:tcPr>
            <w:tcW w:w="865" w:type="pct"/>
            <w:vAlign w:val="center"/>
          </w:tcPr>
          <w:p w14:paraId="227497EF">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联  系  人：</w:t>
            </w:r>
          </w:p>
        </w:tc>
        <w:tc>
          <w:tcPr>
            <w:tcW w:w="1636" w:type="pct"/>
            <w:vAlign w:val="center"/>
          </w:tcPr>
          <w:p w14:paraId="4C6D38D8">
            <w:pPr>
              <w:spacing w:line="400" w:lineRule="exact"/>
              <w:jc w:val="center"/>
              <w:rPr>
                <w:rFonts w:ascii="仿宋" w:hAnsi="仿宋" w:eastAsia="仿宋" w:cs="仿宋"/>
                <w:szCs w:val="21"/>
                <w:highlight w:val="none"/>
                <w:u w:val="single"/>
              </w:rPr>
            </w:pPr>
          </w:p>
        </w:tc>
      </w:tr>
      <w:tr w14:paraId="55AF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613DEA60">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传    真：</w:t>
            </w:r>
          </w:p>
        </w:tc>
        <w:tc>
          <w:tcPr>
            <w:tcW w:w="1648" w:type="pct"/>
            <w:vAlign w:val="center"/>
          </w:tcPr>
          <w:p w14:paraId="6E63DD04">
            <w:pPr>
              <w:spacing w:line="400" w:lineRule="exact"/>
              <w:jc w:val="center"/>
              <w:rPr>
                <w:rFonts w:ascii="仿宋" w:hAnsi="仿宋" w:eastAsia="仿宋" w:cs="仿宋"/>
                <w:szCs w:val="21"/>
                <w:highlight w:val="none"/>
              </w:rPr>
            </w:pPr>
          </w:p>
        </w:tc>
        <w:tc>
          <w:tcPr>
            <w:tcW w:w="865" w:type="pct"/>
            <w:vAlign w:val="center"/>
          </w:tcPr>
          <w:p w14:paraId="6B2647DC">
            <w:pPr>
              <w:spacing w:line="400" w:lineRule="exact"/>
              <w:jc w:val="center"/>
              <w:rPr>
                <w:rFonts w:ascii="仿宋" w:hAnsi="仿宋" w:eastAsia="仿宋" w:cs="仿宋"/>
                <w:spacing w:val="20"/>
                <w:szCs w:val="21"/>
                <w:highlight w:val="none"/>
              </w:rPr>
            </w:pPr>
            <w:r>
              <w:rPr>
                <w:rFonts w:hint="eastAsia" w:ascii="仿宋" w:hAnsi="仿宋" w:eastAsia="仿宋" w:cs="仿宋"/>
                <w:spacing w:val="20"/>
                <w:szCs w:val="21"/>
                <w:highlight w:val="none"/>
              </w:rPr>
              <w:t>座机电话：</w:t>
            </w:r>
          </w:p>
        </w:tc>
        <w:tc>
          <w:tcPr>
            <w:tcW w:w="1636" w:type="pct"/>
            <w:vAlign w:val="center"/>
          </w:tcPr>
          <w:p w14:paraId="409ECB33">
            <w:pPr>
              <w:spacing w:line="400" w:lineRule="exact"/>
              <w:jc w:val="center"/>
              <w:rPr>
                <w:rFonts w:ascii="仿宋" w:hAnsi="仿宋" w:eastAsia="仿宋" w:cs="仿宋"/>
                <w:bCs/>
                <w:szCs w:val="21"/>
                <w:highlight w:val="none"/>
                <w:u w:val="single"/>
              </w:rPr>
            </w:pPr>
          </w:p>
        </w:tc>
      </w:tr>
      <w:tr w14:paraId="03E1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20332EBC">
            <w:pPr>
              <w:spacing w:line="400" w:lineRule="exact"/>
              <w:jc w:val="center"/>
              <w:rPr>
                <w:rFonts w:ascii="仿宋" w:hAnsi="仿宋" w:eastAsia="仿宋" w:cs="仿宋"/>
                <w:szCs w:val="21"/>
                <w:highlight w:val="none"/>
              </w:rPr>
            </w:pPr>
          </w:p>
        </w:tc>
        <w:tc>
          <w:tcPr>
            <w:tcW w:w="1648" w:type="pct"/>
            <w:vAlign w:val="center"/>
          </w:tcPr>
          <w:p w14:paraId="2AE62F24">
            <w:pPr>
              <w:spacing w:line="400" w:lineRule="exact"/>
              <w:jc w:val="center"/>
              <w:rPr>
                <w:rFonts w:ascii="仿宋" w:hAnsi="仿宋" w:eastAsia="仿宋" w:cs="仿宋"/>
                <w:szCs w:val="21"/>
                <w:highlight w:val="none"/>
              </w:rPr>
            </w:pPr>
          </w:p>
        </w:tc>
        <w:tc>
          <w:tcPr>
            <w:tcW w:w="865" w:type="pct"/>
            <w:vAlign w:val="center"/>
          </w:tcPr>
          <w:p w14:paraId="41178571">
            <w:pPr>
              <w:spacing w:line="400" w:lineRule="exact"/>
              <w:jc w:val="center"/>
              <w:rPr>
                <w:rFonts w:ascii="仿宋" w:hAnsi="仿宋" w:eastAsia="仿宋" w:cs="仿宋"/>
                <w:szCs w:val="21"/>
                <w:highlight w:val="none"/>
              </w:rPr>
            </w:pPr>
            <w:r>
              <w:rPr>
                <w:rFonts w:hint="eastAsia" w:ascii="仿宋" w:hAnsi="仿宋" w:eastAsia="仿宋" w:cs="仿宋"/>
                <w:bCs/>
                <w:szCs w:val="21"/>
                <w:highlight w:val="none"/>
              </w:rPr>
              <w:t>联系人手机：</w:t>
            </w:r>
          </w:p>
        </w:tc>
        <w:tc>
          <w:tcPr>
            <w:tcW w:w="1636" w:type="pct"/>
            <w:vAlign w:val="center"/>
          </w:tcPr>
          <w:p w14:paraId="1CC1A135">
            <w:pPr>
              <w:spacing w:line="400" w:lineRule="exact"/>
              <w:jc w:val="center"/>
              <w:rPr>
                <w:rFonts w:ascii="仿宋" w:hAnsi="仿宋" w:eastAsia="仿宋" w:cs="仿宋"/>
                <w:szCs w:val="21"/>
                <w:highlight w:val="none"/>
                <w:u w:val="single"/>
              </w:rPr>
            </w:pPr>
          </w:p>
        </w:tc>
      </w:tr>
      <w:tr w14:paraId="1DBAE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31667FFA">
            <w:pPr>
              <w:spacing w:line="400" w:lineRule="exact"/>
              <w:jc w:val="center"/>
              <w:rPr>
                <w:rFonts w:ascii="仿宋" w:hAnsi="仿宋" w:eastAsia="仿宋" w:cs="仿宋"/>
                <w:szCs w:val="21"/>
                <w:highlight w:val="none"/>
              </w:rPr>
            </w:pPr>
          </w:p>
        </w:tc>
        <w:tc>
          <w:tcPr>
            <w:tcW w:w="1648" w:type="pct"/>
            <w:vAlign w:val="center"/>
          </w:tcPr>
          <w:p w14:paraId="55EBEACA">
            <w:pPr>
              <w:spacing w:line="400" w:lineRule="exact"/>
              <w:jc w:val="center"/>
              <w:rPr>
                <w:rFonts w:ascii="仿宋" w:hAnsi="仿宋" w:eastAsia="仿宋" w:cs="仿宋"/>
                <w:szCs w:val="21"/>
                <w:highlight w:val="none"/>
              </w:rPr>
            </w:pPr>
          </w:p>
        </w:tc>
        <w:tc>
          <w:tcPr>
            <w:tcW w:w="865" w:type="pct"/>
            <w:vAlign w:val="center"/>
          </w:tcPr>
          <w:p w14:paraId="1D13A6F1">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开  户  行：</w:t>
            </w:r>
          </w:p>
        </w:tc>
        <w:tc>
          <w:tcPr>
            <w:tcW w:w="1636" w:type="pct"/>
            <w:vAlign w:val="center"/>
          </w:tcPr>
          <w:p w14:paraId="65F3C103">
            <w:pPr>
              <w:spacing w:line="400" w:lineRule="exact"/>
              <w:jc w:val="center"/>
              <w:rPr>
                <w:rFonts w:ascii="仿宋" w:hAnsi="仿宋" w:eastAsia="仿宋" w:cs="仿宋"/>
                <w:bCs/>
                <w:szCs w:val="21"/>
                <w:highlight w:val="none"/>
                <w:u w:val="single"/>
              </w:rPr>
            </w:pPr>
          </w:p>
        </w:tc>
      </w:tr>
      <w:tr w14:paraId="67A7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05128761">
            <w:pPr>
              <w:spacing w:line="400" w:lineRule="exact"/>
              <w:jc w:val="center"/>
              <w:rPr>
                <w:rFonts w:ascii="仿宋" w:hAnsi="仿宋" w:eastAsia="仿宋" w:cs="仿宋"/>
                <w:szCs w:val="21"/>
                <w:highlight w:val="none"/>
              </w:rPr>
            </w:pPr>
          </w:p>
        </w:tc>
        <w:tc>
          <w:tcPr>
            <w:tcW w:w="1648" w:type="pct"/>
            <w:vAlign w:val="center"/>
          </w:tcPr>
          <w:p w14:paraId="71954B61">
            <w:pPr>
              <w:spacing w:line="400" w:lineRule="exact"/>
              <w:jc w:val="center"/>
              <w:rPr>
                <w:rFonts w:ascii="仿宋" w:hAnsi="仿宋" w:eastAsia="仿宋" w:cs="仿宋"/>
                <w:szCs w:val="21"/>
                <w:highlight w:val="none"/>
              </w:rPr>
            </w:pPr>
          </w:p>
        </w:tc>
        <w:tc>
          <w:tcPr>
            <w:tcW w:w="865" w:type="pct"/>
            <w:vAlign w:val="center"/>
          </w:tcPr>
          <w:p w14:paraId="11C5D61D">
            <w:pPr>
              <w:spacing w:line="400" w:lineRule="exact"/>
              <w:jc w:val="center"/>
              <w:rPr>
                <w:rFonts w:ascii="仿宋" w:hAnsi="仿宋" w:eastAsia="仿宋" w:cs="仿宋"/>
                <w:szCs w:val="21"/>
                <w:highlight w:val="none"/>
              </w:rPr>
            </w:pPr>
            <w:r>
              <w:rPr>
                <w:rFonts w:hint="eastAsia" w:ascii="仿宋" w:hAnsi="仿宋" w:eastAsia="仿宋" w:cs="仿宋"/>
                <w:bCs/>
                <w:szCs w:val="21"/>
                <w:highlight w:val="none"/>
              </w:rPr>
              <w:t>帐      号：</w:t>
            </w:r>
          </w:p>
        </w:tc>
        <w:tc>
          <w:tcPr>
            <w:tcW w:w="1636" w:type="pct"/>
            <w:vAlign w:val="center"/>
          </w:tcPr>
          <w:p w14:paraId="03D168A1">
            <w:pPr>
              <w:spacing w:line="400" w:lineRule="exact"/>
              <w:jc w:val="center"/>
              <w:rPr>
                <w:rFonts w:ascii="仿宋" w:hAnsi="仿宋" w:eastAsia="仿宋" w:cs="仿宋"/>
                <w:bCs/>
                <w:szCs w:val="21"/>
                <w:highlight w:val="none"/>
                <w:u w:val="single"/>
              </w:rPr>
            </w:pPr>
          </w:p>
        </w:tc>
      </w:tr>
      <w:tr w14:paraId="59ED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5B9E602B">
            <w:pPr>
              <w:spacing w:line="400" w:lineRule="exact"/>
              <w:jc w:val="center"/>
              <w:rPr>
                <w:rFonts w:ascii="仿宋" w:hAnsi="仿宋" w:eastAsia="仿宋" w:cs="仿宋"/>
                <w:szCs w:val="21"/>
                <w:highlight w:val="none"/>
              </w:rPr>
            </w:pPr>
            <w:r>
              <w:rPr>
                <w:rFonts w:hint="eastAsia" w:ascii="仿宋" w:hAnsi="仿宋" w:eastAsia="仿宋" w:cs="仿宋"/>
                <w:bCs/>
                <w:szCs w:val="21"/>
                <w:highlight w:val="none"/>
              </w:rPr>
              <w:t>签订日期：</w:t>
            </w:r>
          </w:p>
        </w:tc>
        <w:tc>
          <w:tcPr>
            <w:tcW w:w="1648" w:type="pct"/>
            <w:vAlign w:val="center"/>
          </w:tcPr>
          <w:p w14:paraId="18FA0264">
            <w:pPr>
              <w:spacing w:line="400" w:lineRule="exact"/>
              <w:jc w:val="center"/>
              <w:rPr>
                <w:rFonts w:ascii="仿宋" w:hAnsi="仿宋" w:eastAsia="仿宋" w:cs="仿宋"/>
                <w:bCs/>
                <w:szCs w:val="21"/>
                <w:highlight w:val="none"/>
              </w:rPr>
            </w:pPr>
          </w:p>
        </w:tc>
        <w:tc>
          <w:tcPr>
            <w:tcW w:w="865" w:type="pct"/>
            <w:vAlign w:val="center"/>
          </w:tcPr>
          <w:p w14:paraId="7799C75C">
            <w:pPr>
              <w:spacing w:line="400" w:lineRule="exact"/>
              <w:jc w:val="center"/>
              <w:rPr>
                <w:rFonts w:ascii="仿宋" w:hAnsi="仿宋" w:eastAsia="仿宋" w:cs="仿宋"/>
                <w:bCs/>
                <w:spacing w:val="30"/>
                <w:szCs w:val="21"/>
                <w:highlight w:val="none"/>
              </w:rPr>
            </w:pPr>
            <w:r>
              <w:rPr>
                <w:rFonts w:hint="eastAsia" w:ascii="仿宋" w:hAnsi="仿宋" w:eastAsia="仿宋" w:cs="仿宋"/>
                <w:bCs/>
                <w:spacing w:val="30"/>
                <w:szCs w:val="21"/>
                <w:highlight w:val="none"/>
              </w:rPr>
              <w:t>签订日期：</w:t>
            </w:r>
          </w:p>
        </w:tc>
        <w:tc>
          <w:tcPr>
            <w:tcW w:w="1636" w:type="pct"/>
            <w:vAlign w:val="center"/>
          </w:tcPr>
          <w:p w14:paraId="7B19B8CD">
            <w:pPr>
              <w:spacing w:line="400" w:lineRule="exact"/>
              <w:jc w:val="center"/>
              <w:rPr>
                <w:rFonts w:ascii="仿宋" w:hAnsi="仿宋" w:eastAsia="仿宋" w:cs="仿宋"/>
                <w:bCs/>
                <w:szCs w:val="21"/>
                <w:highlight w:val="none"/>
              </w:rPr>
            </w:pPr>
          </w:p>
        </w:tc>
      </w:tr>
    </w:tbl>
    <w:p w14:paraId="1A942FA7">
      <w:pPr>
        <w:rPr>
          <w:sz w:val="22"/>
          <w:szCs w:val="28"/>
          <w:highlight w:val="none"/>
        </w:rPr>
      </w:pPr>
    </w:p>
    <w:p w14:paraId="6752F7C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12443"/>
    <w:rsid w:val="0C212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cs="宋体"/>
      <w:sz w:val="20"/>
      <w:szCs w:val="20"/>
      <w:lang w:eastAsia="en-US"/>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2026-06-02T10:00:00Z</dcterms:created>
  <dc:creator>德仁招标</dc:creator>
  <cp:lastModifiedBy>德仁招标</cp:lastModifiedBy>
  <dcterms:modified xsi:type="dcterms:W3CDTF">2026-06-02T10:00:38Z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BD481C79AA3641D79A4DB8584E976116_11</vt:lpwstr>
  </property>
  <property fmtid="{D5CDD505-2E9C-101B-9397-08002B2CF9AE}" pid="4" name="KSOTemplateDocerSaveRecord">
    <vt:lpwstr>eyJoZGlkIjoiNzNmNDZlOGE4YzBiODhkNTY3NTdiYjNiMTljZmEwZTciLCJ1c2VySWQiOiIyNzQ5OTcwMTQifQ==</vt:lpwstr>
  </property>
</Properties>
</file>