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44584640">
      <w:pPr>
        <w:pStyle w:val="5"/>
        <w:rPr>
          <w:rFonts w:hint="eastAsia" w:ascii="仿宋" w:hAnsi="仿宋" w:eastAsia="仿宋" w:cs="仿宋"/>
          <w:color w:val="auto"/>
          <w:highlight w:val="none"/>
        </w:rPr>
      </w:pPr>
      <w:r>
        <w:rPr>
          <w:rFonts w:hint="eastAsia" w:ascii="仿宋" w:hAnsi="仿宋" w:eastAsia="仿宋" w:cs="仿宋"/>
          <w:color w:val="auto"/>
          <w:sz w:val="32"/>
          <w:szCs w:val="28"/>
          <w:highlight w:val="none"/>
        </w:rPr>
        <w:t>采购需求</w:t>
      </w:r>
    </w:p>
    <w:p w14:paraId="75952DB4">
      <w:pPr>
        <w:spacing w:line="336" w:lineRule="auto"/>
        <w:jc w:val="center"/>
        <w:rPr>
          <w:rFonts w:hint="eastAsia" w:ascii="仿宋" w:hAnsi="仿宋" w:eastAsia="仿宋" w:cs="仿宋"/>
          <w:color w:val="auto"/>
          <w:sz w:val="32"/>
          <w:szCs w:val="32"/>
          <w:highlight w:val="none"/>
        </w:rPr>
      </w:pPr>
    </w:p>
    <w:p w14:paraId="03E8BB5B">
      <w:pPr>
        <w:spacing w:line="336"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1、采购清单</w:t>
      </w:r>
    </w:p>
    <w:tbl>
      <w:tblPr>
        <w:tblStyle w:val="6"/>
        <w:tblW w:w="4996"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75"/>
        <w:gridCol w:w="2185"/>
        <w:gridCol w:w="1218"/>
        <w:gridCol w:w="1218"/>
        <w:gridCol w:w="3219"/>
      </w:tblGrid>
      <w:tr w14:paraId="12A0C2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396" w:type="pct"/>
            <w:noWrap w:val="0"/>
            <w:vAlign w:val="center"/>
          </w:tcPr>
          <w:p w14:paraId="40D5CF01">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序号</w:t>
            </w:r>
          </w:p>
        </w:tc>
        <w:tc>
          <w:tcPr>
            <w:tcW w:w="1283" w:type="pct"/>
            <w:noWrap w:val="0"/>
            <w:vAlign w:val="center"/>
          </w:tcPr>
          <w:p w14:paraId="169213A7">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设备名称</w:t>
            </w:r>
          </w:p>
        </w:tc>
        <w:tc>
          <w:tcPr>
            <w:tcW w:w="715" w:type="pct"/>
            <w:noWrap w:val="0"/>
            <w:vAlign w:val="center"/>
          </w:tcPr>
          <w:p w14:paraId="6FC51FB8">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数量</w:t>
            </w:r>
          </w:p>
          <w:p w14:paraId="51596DCA">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（台/套）</w:t>
            </w:r>
          </w:p>
        </w:tc>
        <w:tc>
          <w:tcPr>
            <w:tcW w:w="715" w:type="pct"/>
            <w:noWrap w:val="0"/>
            <w:vAlign w:val="center"/>
          </w:tcPr>
          <w:p w14:paraId="64A3BB69">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所属</w:t>
            </w:r>
          </w:p>
          <w:p w14:paraId="4FE97CF4">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行业属性</w:t>
            </w:r>
          </w:p>
        </w:tc>
        <w:tc>
          <w:tcPr>
            <w:tcW w:w="1890" w:type="pct"/>
            <w:noWrap w:val="0"/>
            <w:vAlign w:val="center"/>
          </w:tcPr>
          <w:p w14:paraId="5EF8D659">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备注</w:t>
            </w:r>
          </w:p>
        </w:tc>
      </w:tr>
      <w:tr w14:paraId="4E8E16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7" w:hRule="atLeast"/>
          <w:jc w:val="center"/>
        </w:trPr>
        <w:tc>
          <w:tcPr>
            <w:tcW w:w="396" w:type="pct"/>
            <w:noWrap w:val="0"/>
            <w:vAlign w:val="center"/>
          </w:tcPr>
          <w:p w14:paraId="26F6BC91">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1</w:t>
            </w:r>
          </w:p>
        </w:tc>
        <w:tc>
          <w:tcPr>
            <w:tcW w:w="1283" w:type="pct"/>
            <w:noWrap w:val="0"/>
            <w:vAlign w:val="center"/>
          </w:tcPr>
          <w:p w14:paraId="33C69BF8">
            <w:pPr>
              <w:spacing w:line="336" w:lineRule="auto"/>
              <w:jc w:val="center"/>
              <w:rPr>
                <w:rFonts w:hint="eastAsia" w:ascii="仿宋" w:hAnsi="仿宋" w:eastAsia="仿宋" w:cs="仿宋"/>
                <w:b/>
                <w:color w:val="auto"/>
                <w:sz w:val="24"/>
                <w:highlight w:val="none"/>
              </w:rPr>
            </w:pPr>
            <w:r>
              <w:rPr>
                <w:rFonts w:hint="eastAsia" w:ascii="仿宋" w:hAnsi="仿宋" w:eastAsia="仿宋" w:cs="仿宋"/>
                <w:b/>
                <w:color w:val="auto"/>
                <w:sz w:val="24"/>
                <w:highlight w:val="none"/>
              </w:rPr>
              <w:t>态势感知安全审计设备</w:t>
            </w:r>
          </w:p>
        </w:tc>
        <w:tc>
          <w:tcPr>
            <w:tcW w:w="715" w:type="pct"/>
            <w:noWrap w:val="0"/>
            <w:vAlign w:val="center"/>
          </w:tcPr>
          <w:p w14:paraId="4406F45E">
            <w:pPr>
              <w:spacing w:line="336" w:lineRule="auto"/>
              <w:jc w:val="center"/>
              <w:rPr>
                <w:rFonts w:hint="eastAsia"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1</w:t>
            </w:r>
          </w:p>
        </w:tc>
        <w:tc>
          <w:tcPr>
            <w:tcW w:w="715" w:type="pct"/>
            <w:noWrap w:val="0"/>
            <w:vAlign w:val="center"/>
          </w:tcPr>
          <w:p w14:paraId="3F08D3D8">
            <w:pPr>
              <w:spacing w:line="336" w:lineRule="auto"/>
              <w:jc w:val="center"/>
              <w:rPr>
                <w:rFonts w:hint="default" w:ascii="仿宋" w:hAnsi="仿宋" w:eastAsia="仿宋" w:cs="仿宋"/>
                <w:b/>
                <w:color w:val="auto"/>
                <w:sz w:val="24"/>
                <w:highlight w:val="none"/>
                <w:lang w:val="en-US" w:eastAsia="zh-CN"/>
              </w:rPr>
            </w:pPr>
            <w:r>
              <w:rPr>
                <w:rFonts w:hint="eastAsia" w:ascii="仿宋" w:hAnsi="仿宋" w:eastAsia="仿宋" w:cs="仿宋"/>
                <w:b/>
                <w:color w:val="auto"/>
                <w:sz w:val="24"/>
                <w:highlight w:val="none"/>
                <w:lang w:val="en-US" w:eastAsia="zh-CN"/>
              </w:rPr>
              <w:t>工业</w:t>
            </w:r>
          </w:p>
        </w:tc>
        <w:tc>
          <w:tcPr>
            <w:tcW w:w="1890" w:type="pct"/>
            <w:noWrap w:val="0"/>
            <w:vAlign w:val="center"/>
          </w:tcPr>
          <w:p w14:paraId="3921F2DD">
            <w:pPr>
              <w:spacing w:line="336" w:lineRule="auto"/>
              <w:jc w:val="center"/>
              <w:rPr>
                <w:rFonts w:hint="eastAsia" w:ascii="仿宋" w:hAnsi="仿宋" w:eastAsia="仿宋" w:cs="仿宋"/>
                <w:b/>
                <w:color w:val="auto"/>
                <w:sz w:val="24"/>
                <w:highlight w:val="none"/>
                <w:lang w:eastAsia="zh-CN"/>
              </w:rPr>
            </w:pPr>
            <w:r>
              <w:rPr>
                <w:rFonts w:hint="eastAsia" w:ascii="仿宋" w:hAnsi="仿宋" w:eastAsia="仿宋" w:cs="仿宋"/>
                <w:b/>
                <w:color w:val="auto"/>
                <w:sz w:val="24"/>
                <w:highlight w:val="none"/>
              </w:rPr>
              <w:t>核心</w:t>
            </w:r>
            <w:r>
              <w:rPr>
                <w:rFonts w:hint="eastAsia" w:ascii="仿宋" w:hAnsi="仿宋" w:eastAsia="仿宋" w:cs="仿宋"/>
                <w:b/>
                <w:color w:val="auto"/>
                <w:sz w:val="24"/>
                <w:highlight w:val="none"/>
                <w:lang w:val="en-US" w:eastAsia="zh-CN"/>
              </w:rPr>
              <w:t>产品</w:t>
            </w:r>
          </w:p>
        </w:tc>
      </w:tr>
    </w:tbl>
    <w:p w14:paraId="2DA0484C">
      <w:pPr>
        <w:spacing w:line="336"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注：本项目属于货物类，货物类对应的标的的所属行业属性在上表已列出。</w:t>
      </w:r>
    </w:p>
    <w:p w14:paraId="5613AE83">
      <w:pPr>
        <w:spacing w:line="336" w:lineRule="auto"/>
        <w:rPr>
          <w:rFonts w:hint="eastAsia" w:ascii="仿宋" w:hAnsi="仿宋" w:eastAsia="仿宋" w:cs="仿宋"/>
          <w:b/>
          <w:color w:val="auto"/>
          <w:sz w:val="28"/>
          <w:szCs w:val="28"/>
          <w:highlight w:val="none"/>
        </w:rPr>
      </w:pPr>
      <w:r>
        <w:rPr>
          <w:rFonts w:hint="eastAsia" w:ascii="仿宋" w:hAnsi="仿宋" w:eastAsia="仿宋" w:cs="仿宋"/>
          <w:b/>
          <w:color w:val="auto"/>
          <w:sz w:val="28"/>
          <w:szCs w:val="28"/>
          <w:highlight w:val="none"/>
        </w:rPr>
        <w:t>2、技术参数</w:t>
      </w:r>
    </w:p>
    <w:tbl>
      <w:tblPr>
        <w:tblStyle w:val="7"/>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7"/>
        <w:gridCol w:w="862"/>
        <w:gridCol w:w="7003"/>
      </w:tblGrid>
      <w:tr w14:paraId="043E5F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5B21E030">
            <w:pPr>
              <w:widowControl/>
              <w:jc w:val="center"/>
              <w:textAlignment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bidi="ar"/>
              </w:rPr>
              <w:t>序号</w:t>
            </w:r>
          </w:p>
        </w:tc>
        <w:tc>
          <w:tcPr>
            <w:tcW w:w="505" w:type="pct"/>
            <w:noWrap w:val="0"/>
            <w:vAlign w:val="center"/>
          </w:tcPr>
          <w:p w14:paraId="038A5B5B">
            <w:pPr>
              <w:widowControl/>
              <w:jc w:val="center"/>
              <w:textAlignment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bidi="ar"/>
              </w:rPr>
              <w:t>指标</w:t>
            </w:r>
          </w:p>
        </w:tc>
        <w:tc>
          <w:tcPr>
            <w:tcW w:w="4108" w:type="pct"/>
            <w:noWrap w:val="0"/>
            <w:vAlign w:val="center"/>
          </w:tcPr>
          <w:p w14:paraId="78D2CF79">
            <w:pPr>
              <w:widowControl/>
              <w:jc w:val="center"/>
              <w:textAlignment w:val="center"/>
              <w:rPr>
                <w:rFonts w:hint="eastAsia" w:ascii="仿宋" w:hAnsi="仿宋" w:eastAsia="仿宋" w:cs="仿宋"/>
                <w:color w:val="auto"/>
                <w:sz w:val="24"/>
                <w:szCs w:val="24"/>
              </w:rPr>
            </w:pPr>
            <w:r>
              <w:rPr>
                <w:rFonts w:hint="eastAsia" w:ascii="仿宋" w:hAnsi="仿宋" w:eastAsia="仿宋" w:cs="仿宋"/>
                <w:b/>
                <w:bCs/>
                <w:color w:val="auto"/>
                <w:kern w:val="0"/>
                <w:sz w:val="24"/>
                <w:szCs w:val="24"/>
                <w:lang w:bidi="ar"/>
              </w:rPr>
              <w:t>规格参数</w:t>
            </w:r>
          </w:p>
        </w:tc>
      </w:tr>
      <w:tr w14:paraId="508AB9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45E4589D">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w:t>
            </w:r>
          </w:p>
        </w:tc>
        <w:tc>
          <w:tcPr>
            <w:tcW w:w="505" w:type="pct"/>
            <w:noWrap w:val="0"/>
            <w:vAlign w:val="center"/>
          </w:tcPr>
          <w:p w14:paraId="44A963D8">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基本要求</w:t>
            </w:r>
          </w:p>
        </w:tc>
        <w:tc>
          <w:tcPr>
            <w:tcW w:w="4108" w:type="pct"/>
            <w:noWrap w:val="0"/>
            <w:vAlign w:val="center"/>
          </w:tcPr>
          <w:p w14:paraId="29FA1880">
            <w:pPr>
              <w:keepNext w:val="0"/>
              <w:keepLines w:val="0"/>
              <w:pageBreakBefore w:val="0"/>
              <w:widowControl/>
              <w:numPr>
                <w:ilvl w:val="0"/>
                <w:numId w:val="0"/>
              </w:numPr>
              <w:kinsoku/>
              <w:wordWrap/>
              <w:overflowPunct/>
              <w:topLinePunct w:val="0"/>
              <w:autoSpaceDE/>
              <w:autoSpaceDN/>
              <w:bidi w:val="0"/>
              <w:adjustRightInd/>
              <w:snapToGrid/>
              <w:spacing w:line="293" w:lineRule="auto"/>
              <w:jc w:val="both"/>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val="en-US" w:eastAsia="zh-CN" w:bidi="ar"/>
              </w:rPr>
              <w:t>1、</w:t>
            </w:r>
            <w:r>
              <w:rPr>
                <w:rFonts w:hint="eastAsia" w:ascii="仿宋" w:hAnsi="仿宋" w:eastAsia="仿宋" w:cs="仿宋"/>
                <w:color w:val="auto"/>
                <w:kern w:val="0"/>
                <w:sz w:val="24"/>
                <w:szCs w:val="24"/>
                <w:lang w:bidi="ar"/>
              </w:rPr>
              <w:t>硬件配置：机架式设备，≥2个千兆电口，≥2个万兆光口（含万兆多模光模块），≥2T硬盘存储空间，≥64G内存，冗余电源;</w:t>
            </w:r>
          </w:p>
          <w:p w14:paraId="36A200EE">
            <w:pPr>
              <w:keepNext w:val="0"/>
              <w:keepLines w:val="0"/>
              <w:pageBreakBefore w:val="0"/>
              <w:widowControl/>
              <w:kinsoku/>
              <w:wordWrap/>
              <w:overflowPunct/>
              <w:topLinePunct w:val="0"/>
              <w:autoSpaceDE/>
              <w:autoSpaceDN/>
              <w:bidi w:val="0"/>
              <w:adjustRightInd/>
              <w:snapToGrid/>
              <w:spacing w:line="293" w:lineRule="auto"/>
              <w:jc w:val="both"/>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2、配置漏洞扫描次数授权：无限制；</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3、配置漏洞扫描IP/域名范围授权：≥2000；</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4、配置基线核查次数授权：无限制；</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5、配置蜜罐威胁诱捕IP授权数：≥200；</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6、配置黑链、DNS域名监测相关网站监测资产授权数：≥200；</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7、配置主机Agent威胁监测授权数：≥1000；</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8、配置漏洞屏蔽主机授权数：≥1000；</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9、网络层吞吐量：≥10Gbps；</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bidi="ar"/>
              </w:rPr>
              <w:t>10、根据医院需要，提供二次开发接口授权；</w:t>
            </w:r>
          </w:p>
          <w:p w14:paraId="54939EC8">
            <w:pPr>
              <w:keepNext w:val="0"/>
              <w:keepLines w:val="0"/>
              <w:pageBreakBefore w:val="0"/>
              <w:widowControl/>
              <w:kinsoku/>
              <w:wordWrap/>
              <w:overflowPunct/>
              <w:topLinePunct w:val="0"/>
              <w:autoSpaceDE/>
              <w:autoSpaceDN/>
              <w:bidi w:val="0"/>
              <w:adjustRightInd/>
              <w:snapToGrid/>
              <w:spacing w:line="293" w:lineRule="auto"/>
              <w:jc w:val="both"/>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11、提供三年运维与质保服务，包括硬件质保，威胁情报库、规则库、病毒库、漏洞扫描、基线核查、蜜罐、网站监测、主机Agent、漏洞屏蔽主机等三年授权。</w:t>
            </w:r>
            <w:r>
              <w:rPr>
                <w:rFonts w:hint="eastAsia" w:ascii="仿宋" w:hAnsi="仿宋" w:eastAsia="仿宋" w:cs="仿宋"/>
                <w:color w:val="auto"/>
                <w:kern w:val="0"/>
                <w:sz w:val="24"/>
                <w:szCs w:val="24"/>
                <w:lang w:bidi="ar"/>
              </w:rPr>
              <w:br w:type="textWrapping"/>
            </w:r>
            <w:r>
              <w:rPr>
                <w:rFonts w:hint="eastAsia" w:ascii="仿宋" w:hAnsi="仿宋" w:eastAsia="仿宋" w:cs="仿宋"/>
                <w:color w:val="auto"/>
                <w:kern w:val="0"/>
                <w:sz w:val="24"/>
                <w:szCs w:val="24"/>
                <w:lang w:val="en-US" w:eastAsia="zh-CN" w:bidi="ar"/>
              </w:rPr>
              <w:t>12、</w:t>
            </w:r>
            <w:r>
              <w:rPr>
                <w:rFonts w:hint="eastAsia" w:ascii="仿宋" w:hAnsi="仿宋" w:eastAsia="仿宋" w:cs="仿宋"/>
                <w:color w:val="auto"/>
                <w:kern w:val="0"/>
                <w:sz w:val="24"/>
                <w:szCs w:val="24"/>
                <w:lang w:bidi="ar"/>
              </w:rPr>
              <w:t>产品应具备统一管理能力，支持在同一管理界面完成运维配置、数据查看和运营处理等工作。</w:t>
            </w:r>
          </w:p>
          <w:p w14:paraId="1EA64223">
            <w:pPr>
              <w:keepNext w:val="0"/>
              <w:keepLines w:val="0"/>
              <w:pageBreakBefore w:val="0"/>
              <w:widowControl/>
              <w:kinsoku/>
              <w:wordWrap/>
              <w:overflowPunct/>
              <w:topLinePunct w:val="0"/>
              <w:autoSpaceDE/>
              <w:autoSpaceDN/>
              <w:bidi w:val="0"/>
              <w:adjustRightInd/>
              <w:snapToGrid/>
              <w:spacing w:line="293" w:lineRule="auto"/>
              <w:jc w:val="both"/>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val="en-US" w:eastAsia="zh-CN" w:bidi="ar"/>
              </w:rPr>
              <w:t>13、</w:t>
            </w:r>
            <w:r>
              <w:rPr>
                <w:rFonts w:hint="eastAsia" w:ascii="仿宋" w:hAnsi="仿宋" w:eastAsia="仿宋" w:cs="仿宋"/>
                <w:color w:val="auto"/>
                <w:kern w:val="0"/>
                <w:sz w:val="24"/>
                <w:szCs w:val="24"/>
                <w:lang w:bidi="ar"/>
              </w:rPr>
              <w:t>中标后，5个工作日内提供一体化服务平台样机进行逐项测试，若测试结果未达到采购要求，可视为供应商虚假响应，采购人有权上报至财政部门。</w:t>
            </w:r>
          </w:p>
          <w:p w14:paraId="46AA069E">
            <w:pPr>
              <w:keepNext w:val="0"/>
              <w:keepLines w:val="0"/>
              <w:pageBreakBefore w:val="0"/>
              <w:widowControl/>
              <w:kinsoku/>
              <w:wordWrap/>
              <w:overflowPunct/>
              <w:topLinePunct w:val="0"/>
              <w:autoSpaceDE/>
              <w:autoSpaceDN/>
              <w:bidi w:val="0"/>
              <w:adjustRightInd/>
              <w:snapToGrid/>
              <w:spacing w:line="293" w:lineRule="auto"/>
              <w:jc w:val="both"/>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提供加盖</w:t>
            </w:r>
            <w:r>
              <w:rPr>
                <w:rFonts w:hint="eastAsia" w:ascii="仿宋" w:hAnsi="仿宋" w:eastAsia="仿宋" w:cs="仿宋"/>
                <w:color w:val="auto"/>
                <w:kern w:val="0"/>
                <w:sz w:val="24"/>
                <w:szCs w:val="24"/>
                <w:lang w:val="en-US" w:eastAsia="zh-CN" w:bidi="ar"/>
              </w:rPr>
              <w:t>供应商</w:t>
            </w:r>
            <w:r>
              <w:rPr>
                <w:rFonts w:hint="eastAsia" w:ascii="仿宋" w:hAnsi="仿宋" w:eastAsia="仿宋" w:cs="仿宋"/>
                <w:color w:val="auto"/>
                <w:kern w:val="0"/>
                <w:sz w:val="24"/>
                <w:szCs w:val="24"/>
                <w:lang w:bidi="ar"/>
              </w:rPr>
              <w:t>公章的承诺函。</w:t>
            </w:r>
          </w:p>
        </w:tc>
      </w:tr>
      <w:tr w14:paraId="5383B4E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342F373C">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w:t>
            </w:r>
          </w:p>
        </w:tc>
        <w:tc>
          <w:tcPr>
            <w:tcW w:w="505" w:type="pct"/>
            <w:noWrap w:val="0"/>
            <w:vAlign w:val="center"/>
          </w:tcPr>
          <w:p w14:paraId="76A2E47E">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暴露面监测</w:t>
            </w:r>
          </w:p>
        </w:tc>
        <w:tc>
          <w:tcPr>
            <w:tcW w:w="4108" w:type="pct"/>
            <w:noWrap w:val="0"/>
            <w:vAlign w:val="center"/>
          </w:tcPr>
          <w:p w14:paraId="622BFD0A">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提供通过单位全称、关键字、出口IP等信息，收集单位信息、邮箱信息、敏感代码、敏感文档、app程序、微信小程序、微信公众号等外部/互联网攻击面信息。</w:t>
            </w:r>
          </w:p>
          <w:p w14:paraId="7D085C5E">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val="en-US" w:eastAsia="zh-CN" w:bidi="ar"/>
              </w:rPr>
              <w:t>提供合法来源渠道证明材料：包括但不限于：带链接的官网截图或产品界面截图或产品彩页或厂家授权或检测报告等。佐证材料与技术响应偏离表响应内容不一致的，以佐证材料为准</w:t>
            </w:r>
            <w:r>
              <w:rPr>
                <w:rFonts w:hint="eastAsia" w:ascii="仿宋" w:hAnsi="仿宋" w:eastAsia="仿宋" w:cs="仿宋"/>
                <w:color w:val="auto"/>
                <w:kern w:val="0"/>
                <w:sz w:val="24"/>
                <w:szCs w:val="24"/>
                <w:lang w:bidi="ar"/>
              </w:rPr>
              <w:t>。</w:t>
            </w:r>
          </w:p>
        </w:tc>
      </w:tr>
      <w:tr w14:paraId="0FAE5FD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167D5C6B">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3</w:t>
            </w:r>
          </w:p>
        </w:tc>
        <w:tc>
          <w:tcPr>
            <w:tcW w:w="505" w:type="pct"/>
            <w:noWrap w:val="0"/>
            <w:vAlign w:val="center"/>
          </w:tcPr>
          <w:p w14:paraId="2B79A94B">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网站资产相关度分析</w:t>
            </w:r>
          </w:p>
        </w:tc>
        <w:tc>
          <w:tcPr>
            <w:tcW w:w="4108" w:type="pct"/>
            <w:noWrap w:val="0"/>
            <w:vAlign w:val="center"/>
          </w:tcPr>
          <w:p w14:paraId="0FF8ED8E">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提供通过爬取单位已知的网站页面，分析网页中是否包含单位相关的网站链接，从而发现未知网站；可配置“网段、域名”等命中规则，自动判断是否属于单位的网址。</w:t>
            </w:r>
          </w:p>
          <w:p w14:paraId="646208E2">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提供合法来源渠道证明材料：包括但不限于：带链接的官网截图或产品界面截图或产品彩页或厂家授权或检测报告等。佐证材料与技术响应偏离表响应内容不一致的，以佐证材料为准</w:t>
            </w:r>
            <w:r>
              <w:rPr>
                <w:rFonts w:hint="eastAsia" w:ascii="仿宋" w:hAnsi="仿宋" w:eastAsia="仿宋" w:cs="仿宋"/>
                <w:color w:val="auto"/>
                <w:kern w:val="0"/>
                <w:sz w:val="24"/>
                <w:szCs w:val="24"/>
                <w:highlight w:val="none"/>
                <w:lang w:bidi="ar"/>
              </w:rPr>
              <w:t>。</w:t>
            </w:r>
          </w:p>
        </w:tc>
      </w:tr>
      <w:tr w14:paraId="03865B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032C3FD5">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4</w:t>
            </w:r>
          </w:p>
        </w:tc>
        <w:tc>
          <w:tcPr>
            <w:tcW w:w="505" w:type="pct"/>
            <w:noWrap w:val="0"/>
            <w:vAlign w:val="center"/>
          </w:tcPr>
          <w:p w14:paraId="6B84C78C">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多网卡探测</w:t>
            </w:r>
          </w:p>
        </w:tc>
        <w:tc>
          <w:tcPr>
            <w:tcW w:w="4108" w:type="pct"/>
            <w:noWrap w:val="0"/>
            <w:vAlign w:val="center"/>
          </w:tcPr>
          <w:p w14:paraId="07AB42BE">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提供通过对历史资产探测任务进行二次扫描探测，发现探测网络上的主机是否存在多网卡，信息需包括主机网卡IP及多网卡IP。</w:t>
            </w:r>
          </w:p>
          <w:p w14:paraId="560B1336">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提供合法来源渠道证明材料：包括但不限于：带链接的官网截图或产品界面截图或产品彩页或厂家授权或检测报告等。佐证材料与技术响应偏离表响应内容不一致的，以佐证材料为准</w:t>
            </w:r>
            <w:r>
              <w:rPr>
                <w:rFonts w:hint="eastAsia" w:ascii="仿宋" w:hAnsi="仿宋" w:eastAsia="仿宋" w:cs="仿宋"/>
                <w:color w:val="auto"/>
                <w:kern w:val="0"/>
                <w:sz w:val="24"/>
                <w:szCs w:val="24"/>
                <w:highlight w:val="none"/>
                <w:lang w:bidi="ar"/>
              </w:rPr>
              <w:t>。</w:t>
            </w:r>
          </w:p>
        </w:tc>
      </w:tr>
      <w:tr w14:paraId="472FB2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6FF9CDF4">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5</w:t>
            </w:r>
          </w:p>
        </w:tc>
        <w:tc>
          <w:tcPr>
            <w:tcW w:w="505" w:type="pct"/>
            <w:noWrap w:val="0"/>
            <w:vAlign w:val="center"/>
          </w:tcPr>
          <w:p w14:paraId="486A5C91">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资产台账</w:t>
            </w:r>
          </w:p>
        </w:tc>
        <w:tc>
          <w:tcPr>
            <w:tcW w:w="4108" w:type="pct"/>
            <w:noWrap w:val="0"/>
            <w:vAlign w:val="center"/>
          </w:tcPr>
          <w:p w14:paraId="4D2B769D">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通过导入现有资产信息，或在线编辑方式，录入网站资产的管理信息；支持对已知url资产进行深度扫描，进一步发现登录后台和API接口，并识别是否暴露外网；可精细化识别主机的硬件信息（包括cpu、线程、内存、磁盘等使用率信息），网卡信息，运行进程、自启动服务、安装软件等。</w:t>
            </w:r>
          </w:p>
          <w:p w14:paraId="0E38D28A">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提供合法来源渠道证明材料：包括但不限于：带链接的官网截图或产品界面截图或产品彩页或厂家授权或检测报告等。佐证材料与技术响应偏离表响应内容不一致的，以佐证材料为准</w:t>
            </w:r>
            <w:r>
              <w:rPr>
                <w:rFonts w:hint="eastAsia" w:ascii="仿宋" w:hAnsi="仿宋" w:eastAsia="仿宋" w:cs="仿宋"/>
                <w:color w:val="auto"/>
                <w:kern w:val="0"/>
                <w:sz w:val="24"/>
                <w:szCs w:val="24"/>
                <w:highlight w:val="none"/>
                <w:lang w:bidi="ar"/>
              </w:rPr>
              <w:t>。</w:t>
            </w:r>
          </w:p>
        </w:tc>
      </w:tr>
      <w:tr w14:paraId="60547F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7F36ED03">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6</w:t>
            </w:r>
          </w:p>
        </w:tc>
        <w:tc>
          <w:tcPr>
            <w:tcW w:w="505" w:type="pct"/>
            <w:noWrap w:val="0"/>
            <w:vAlign w:val="center"/>
          </w:tcPr>
          <w:p w14:paraId="6EF6426B">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web风险监测</w:t>
            </w:r>
          </w:p>
        </w:tc>
        <w:tc>
          <w:tcPr>
            <w:tcW w:w="4108" w:type="pct"/>
            <w:noWrap w:val="0"/>
            <w:vAlign w:val="center"/>
          </w:tcPr>
          <w:p w14:paraId="2CB58785">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通过本设备提供对网站的“漏洞、篡改、黑链、敏感文件、敏感词、网马监测、可用性、域名劫持”等维度开展实时监测。</w:t>
            </w:r>
          </w:p>
          <w:p w14:paraId="7E6D3028">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val="en-US" w:eastAsia="zh-CN" w:bidi="ar"/>
              </w:rPr>
              <w:t>提供合法来源渠道证明材料：包括但不限于：带链接的官网截图或产品界面截图或产品彩页或厂家授权或检测报告等。佐证材料与技术响应偏离表响应内容不一致的，以佐证材料为准</w:t>
            </w:r>
            <w:r>
              <w:rPr>
                <w:rFonts w:hint="eastAsia" w:ascii="仿宋" w:hAnsi="仿宋" w:eastAsia="仿宋" w:cs="仿宋"/>
                <w:color w:val="auto"/>
                <w:kern w:val="0"/>
                <w:sz w:val="24"/>
                <w:szCs w:val="24"/>
                <w:highlight w:val="none"/>
                <w:lang w:bidi="ar"/>
              </w:rPr>
              <w:t>。</w:t>
            </w:r>
          </w:p>
        </w:tc>
      </w:tr>
      <w:tr w14:paraId="09FCD95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5A3E62F9">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7</w:t>
            </w:r>
          </w:p>
        </w:tc>
        <w:tc>
          <w:tcPr>
            <w:tcW w:w="505" w:type="pct"/>
            <w:noWrap w:val="0"/>
            <w:vAlign w:val="center"/>
          </w:tcPr>
          <w:p w14:paraId="58BE2F7D">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敏感文件事件泄露监测</w:t>
            </w:r>
          </w:p>
        </w:tc>
        <w:tc>
          <w:tcPr>
            <w:tcW w:w="4108" w:type="pct"/>
            <w:noWrap w:val="0"/>
            <w:vAlign w:val="center"/>
          </w:tcPr>
          <w:p w14:paraId="00CFD757">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提供监测发布到网上的pdf、word、excel文件中是否包含“身份证号、邮箱、手机号码、用户名/密码”等敏感信息，可在系统上查看泄露的信息以及敏感文件下载链接。</w:t>
            </w:r>
          </w:p>
          <w:p w14:paraId="266B35DD">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5EAD5C4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3BFA4030">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8</w:t>
            </w:r>
          </w:p>
        </w:tc>
        <w:tc>
          <w:tcPr>
            <w:tcW w:w="505" w:type="pct"/>
            <w:noWrap w:val="0"/>
            <w:vAlign w:val="center"/>
          </w:tcPr>
          <w:p w14:paraId="59C3293B">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敏感内容审查工具</w:t>
            </w:r>
          </w:p>
        </w:tc>
        <w:tc>
          <w:tcPr>
            <w:tcW w:w="4108" w:type="pct"/>
            <w:noWrap w:val="0"/>
            <w:vAlign w:val="center"/>
          </w:tcPr>
          <w:p w14:paraId="6AE742E3">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可上传文件(pdf\word\excel)、或者粘贴内容进行敏感词审查，内置敏感词库，支持人工再确认审查结果。</w:t>
            </w:r>
          </w:p>
          <w:p w14:paraId="0892960F">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val="en-US" w:eastAsia="zh-CN" w:bidi="ar"/>
              </w:rPr>
              <w:t>提供合法来源渠道证明材料：包括但不限于：带链接的官网截图或产品界面截图或产品彩页或厂家授权或检测报告等。佐证材料与技术响应偏离表响应内容不一致的，以佐证材料为准</w:t>
            </w:r>
            <w:r>
              <w:rPr>
                <w:rFonts w:hint="eastAsia" w:ascii="仿宋" w:hAnsi="仿宋" w:eastAsia="仿宋" w:cs="仿宋"/>
                <w:color w:val="auto"/>
                <w:kern w:val="0"/>
                <w:sz w:val="24"/>
                <w:szCs w:val="24"/>
                <w:highlight w:val="none"/>
                <w:lang w:bidi="ar"/>
              </w:rPr>
              <w:t>。</w:t>
            </w:r>
          </w:p>
        </w:tc>
      </w:tr>
      <w:tr w14:paraId="3C97D19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0563F789">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9</w:t>
            </w:r>
          </w:p>
        </w:tc>
        <w:tc>
          <w:tcPr>
            <w:tcW w:w="505" w:type="pct"/>
            <w:noWrap w:val="0"/>
            <w:vAlign w:val="center"/>
          </w:tcPr>
          <w:p w14:paraId="30AD7F2C">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漏洞生命周期管理</w:t>
            </w:r>
          </w:p>
        </w:tc>
        <w:tc>
          <w:tcPr>
            <w:tcW w:w="4108" w:type="pct"/>
            <w:noWrap w:val="0"/>
            <w:vAlign w:val="center"/>
          </w:tcPr>
          <w:p w14:paraId="51117476">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支持漏洞跟踪管理，能够自动对漏洞状态进行处置，自动识别“新增、已修复、未修复”的漏洞，同时支持人工方式进行漏洞状态处置，以及编写漏洞备注。</w:t>
            </w:r>
          </w:p>
          <w:p w14:paraId="0221316F">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0C38ED8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599A25E9">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10</w:t>
            </w:r>
          </w:p>
        </w:tc>
        <w:tc>
          <w:tcPr>
            <w:tcW w:w="505" w:type="pct"/>
            <w:noWrap w:val="0"/>
            <w:vAlign w:val="center"/>
          </w:tcPr>
          <w:p w14:paraId="26AB391E">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弱口令扫描研判工具</w:t>
            </w:r>
          </w:p>
        </w:tc>
        <w:tc>
          <w:tcPr>
            <w:tcW w:w="4108" w:type="pct"/>
            <w:noWrap w:val="0"/>
            <w:vAlign w:val="center"/>
          </w:tcPr>
          <w:p w14:paraId="27B4F4BB">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支持用户针对指定的目标IP与应用，通过在web界面上手工输入“用户名、密码”，系统将返回口令登录后的校验结果，确认弱口令是否真实存在。</w:t>
            </w:r>
          </w:p>
          <w:p w14:paraId="5352506B">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6105FFA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21731B8F">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11</w:t>
            </w:r>
          </w:p>
        </w:tc>
        <w:tc>
          <w:tcPr>
            <w:tcW w:w="505" w:type="pct"/>
            <w:noWrap w:val="0"/>
            <w:vAlign w:val="center"/>
          </w:tcPr>
          <w:p w14:paraId="0C67A8E6">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流量监测</w:t>
            </w:r>
          </w:p>
        </w:tc>
        <w:tc>
          <w:tcPr>
            <w:tcW w:w="4108" w:type="pct"/>
            <w:noWrap w:val="0"/>
            <w:vAlign w:val="center"/>
          </w:tcPr>
          <w:p w14:paraId="6A5E2032">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对捕获的流量进行存储、分析，内置多重检测引擎，包含入侵检测、web检测、威胁情报等，结合攻击源、风险等级、地理位置、攻击目标、命中规则数、告警次数等因素综合分析，精准识别攻击源头，发现不同场景下的已知威胁和未知威胁。</w:t>
            </w:r>
          </w:p>
          <w:p w14:paraId="74C17D13">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69F4C9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3F2C43E0">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12</w:t>
            </w:r>
          </w:p>
        </w:tc>
        <w:tc>
          <w:tcPr>
            <w:tcW w:w="505" w:type="pct"/>
            <w:noWrap w:val="0"/>
            <w:vAlign w:val="center"/>
          </w:tcPr>
          <w:p w14:paraId="70167D68">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实时翻墙上网监测</w:t>
            </w:r>
          </w:p>
        </w:tc>
        <w:tc>
          <w:tcPr>
            <w:tcW w:w="4108" w:type="pct"/>
            <w:noWrap w:val="0"/>
            <w:vAlign w:val="center"/>
          </w:tcPr>
          <w:p w14:paraId="6109CDB6">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bidi="ar"/>
              </w:rPr>
              <w:t>1.提供流量加密及非加密场景的翻墙上网行为监测，无需加载证书，可识别主流翻墙工具，支持识别主流代理及加密代理软件。可关联威胁情报，识别命中非法代理、加密代理节点、订阅链接域名、IP、C2服务器等违规外联行为。</w:t>
            </w:r>
            <w:r>
              <w:rPr>
                <w:rFonts w:hint="eastAsia" w:ascii="仿宋" w:hAnsi="仿宋" w:eastAsia="仿宋" w:cs="仿宋"/>
                <w:color w:val="auto"/>
                <w:kern w:val="0"/>
                <w:sz w:val="24"/>
                <w:szCs w:val="24"/>
                <w:highlight w:val="none"/>
                <w:lang w:bidi="ar"/>
              </w:rPr>
              <w:br w:type="textWrapping"/>
            </w:r>
            <w:r>
              <w:rPr>
                <w:rFonts w:hint="eastAsia" w:ascii="仿宋" w:hAnsi="仿宋" w:eastAsia="仿宋" w:cs="仿宋"/>
                <w:color w:val="auto"/>
                <w:kern w:val="0"/>
                <w:sz w:val="24"/>
                <w:szCs w:val="24"/>
                <w:highlight w:val="none"/>
                <w:lang w:bidi="ar"/>
              </w:rPr>
              <w:t>2.提供翻墙行为专属可视化看板，展示翻墙主机IP，翻墙主机是否暴露在外网、命中规则类型、目标域名或IP、翻墙工具、首次发现时间、最近活动时间等关键信息。</w:t>
            </w:r>
            <w:r>
              <w:rPr>
                <w:rFonts w:hint="eastAsia" w:ascii="仿宋" w:hAnsi="仿宋" w:eastAsia="仿宋" w:cs="仿宋"/>
                <w:color w:val="auto"/>
                <w:kern w:val="0"/>
                <w:sz w:val="24"/>
                <w:szCs w:val="24"/>
                <w:highlight w:val="none"/>
                <w:lang w:bidi="ar"/>
              </w:rPr>
              <w:br w:type="textWrapping"/>
            </w: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5EEE27D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5299F15F">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13</w:t>
            </w:r>
          </w:p>
        </w:tc>
        <w:tc>
          <w:tcPr>
            <w:tcW w:w="505" w:type="pct"/>
            <w:noWrap w:val="0"/>
            <w:vAlign w:val="center"/>
          </w:tcPr>
          <w:p w14:paraId="59A44516">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旁路阻断</w:t>
            </w:r>
          </w:p>
        </w:tc>
        <w:tc>
          <w:tcPr>
            <w:tcW w:w="4108" w:type="pct"/>
            <w:noWrap w:val="0"/>
            <w:vAlign w:val="center"/>
          </w:tcPr>
          <w:p w14:paraId="178234C6">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设备旁路方式部署，提供可根据发现的安全威胁自动触发旁路阻断功能，实现对攻击实时阻断。可灵活针对国内/国外ip按照指定时间段进行灵活封禁。</w:t>
            </w:r>
          </w:p>
          <w:p w14:paraId="0AECF346">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w:t>
            </w:r>
            <w:bookmarkStart w:id="0" w:name="_GoBack"/>
            <w:bookmarkEnd w:id="0"/>
            <w:r>
              <w:rPr>
                <w:rFonts w:hint="eastAsia" w:ascii="仿宋" w:hAnsi="仿宋" w:eastAsia="仿宋" w:cs="仿宋"/>
                <w:color w:val="auto"/>
                <w:kern w:val="0"/>
                <w:sz w:val="24"/>
                <w:szCs w:val="24"/>
                <w:highlight w:val="none"/>
                <w:lang w:eastAsia="zh-CN" w:bidi="ar"/>
              </w:rPr>
              <w:t>证明材料：包括但不限于：带链接的官网截图或产品界面截图或产品彩页或厂家授权或检测报告等。佐证材料与技术响应偏离表响应内容不一致的，以佐证材料为准。</w:t>
            </w:r>
          </w:p>
        </w:tc>
      </w:tr>
      <w:tr w14:paraId="312ED9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26959E79">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14</w:t>
            </w:r>
          </w:p>
        </w:tc>
        <w:tc>
          <w:tcPr>
            <w:tcW w:w="505" w:type="pct"/>
            <w:noWrap w:val="0"/>
            <w:vAlign w:val="center"/>
          </w:tcPr>
          <w:p w14:paraId="3F895877">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失陷主机微隔离</w:t>
            </w:r>
          </w:p>
        </w:tc>
        <w:tc>
          <w:tcPr>
            <w:tcW w:w="4108" w:type="pct"/>
            <w:noWrap w:val="0"/>
            <w:vAlign w:val="center"/>
          </w:tcPr>
          <w:p w14:paraId="6E913CBC">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支持失陷主机隔离能力。不需要联动第三方设备、不需要在主机上安装agent脚本，就能对失陷主机进行网络隔离，隔离后失陷主机无法访问同网段以及其它网段IP。</w:t>
            </w:r>
          </w:p>
          <w:p w14:paraId="23F35EE1">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2709FE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109EB49D">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15</w:t>
            </w:r>
          </w:p>
        </w:tc>
        <w:tc>
          <w:tcPr>
            <w:tcW w:w="505" w:type="pct"/>
            <w:noWrap w:val="0"/>
            <w:vAlign w:val="center"/>
          </w:tcPr>
          <w:p w14:paraId="4E8249B9">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仿真蜜罐</w:t>
            </w:r>
          </w:p>
        </w:tc>
        <w:tc>
          <w:tcPr>
            <w:tcW w:w="4108" w:type="pct"/>
            <w:noWrap w:val="0"/>
            <w:vAlign w:val="center"/>
          </w:tcPr>
          <w:p w14:paraId="292D6983">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提供≥10种可自定义单位logo和名称的仿真蜜罐，仿真蜜罐类型包括但不限于：支持不少于10种常见业务系统仿真页面，包括VPN、OA、堡垒机、邮件系统、CRM等。</w:t>
            </w:r>
          </w:p>
          <w:p w14:paraId="2FD641D1">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60BD2E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4A36863A">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16</w:t>
            </w:r>
          </w:p>
        </w:tc>
        <w:tc>
          <w:tcPr>
            <w:tcW w:w="505" w:type="pct"/>
            <w:noWrap w:val="0"/>
            <w:vAlign w:val="center"/>
          </w:tcPr>
          <w:p w14:paraId="77782E12">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威慑反制</w:t>
            </w:r>
          </w:p>
        </w:tc>
        <w:tc>
          <w:tcPr>
            <w:tcW w:w="4108" w:type="pct"/>
            <w:noWrap w:val="0"/>
            <w:vAlign w:val="center"/>
          </w:tcPr>
          <w:p w14:paraId="21D6E9B1">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可灵活指定对某个攻击源IP地址发起威慑反制，比如灌输国家网络安全法、告知已获得相关溯源信息。</w:t>
            </w:r>
          </w:p>
          <w:p w14:paraId="77170180">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57F17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794969CE">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17</w:t>
            </w:r>
          </w:p>
        </w:tc>
        <w:tc>
          <w:tcPr>
            <w:tcW w:w="505" w:type="pct"/>
            <w:noWrap w:val="0"/>
            <w:vAlign w:val="center"/>
          </w:tcPr>
          <w:p w14:paraId="0973A6A5">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主动威胁监测</w:t>
            </w:r>
          </w:p>
        </w:tc>
        <w:tc>
          <w:tcPr>
            <w:tcW w:w="4108" w:type="pct"/>
            <w:noWrap w:val="0"/>
            <w:vAlign w:val="center"/>
          </w:tcPr>
          <w:p w14:paraId="54B86815">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主动监测webshell、暴力破解、异常登录成功、反弹shell、内存马、挖矿检测等，发现可疑的入侵事件，实时告警。</w:t>
            </w:r>
          </w:p>
          <w:p w14:paraId="00C221B8">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7E45EB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435B88D9">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18</w:t>
            </w:r>
          </w:p>
        </w:tc>
        <w:tc>
          <w:tcPr>
            <w:tcW w:w="505" w:type="pct"/>
            <w:noWrap w:val="0"/>
            <w:vAlign w:val="center"/>
          </w:tcPr>
          <w:p w14:paraId="72BD1D8C">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Web日志分析</w:t>
            </w:r>
          </w:p>
        </w:tc>
        <w:tc>
          <w:tcPr>
            <w:tcW w:w="4108" w:type="pct"/>
            <w:noWrap w:val="0"/>
            <w:vAlign w:val="center"/>
          </w:tcPr>
          <w:p w14:paraId="2B1FC7A1">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可输入最新的web日志文件以及对应web端口号，后续会自动跟踪相同目录下的web日志，发现各类web入侵攻击，包括但不限于目录穿越、SQL注入、XSS跨站脚本攻击 、web路径遍历漏洞攻击，高亮显示攻击特征。</w:t>
            </w:r>
          </w:p>
          <w:p w14:paraId="2CB2DEA7">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7E68CB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428A82CE">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19</w:t>
            </w:r>
          </w:p>
        </w:tc>
        <w:tc>
          <w:tcPr>
            <w:tcW w:w="505" w:type="pct"/>
            <w:noWrap w:val="0"/>
            <w:vAlign w:val="center"/>
          </w:tcPr>
          <w:p w14:paraId="55F2656D">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漏洞攻击屏蔽</w:t>
            </w:r>
          </w:p>
        </w:tc>
        <w:tc>
          <w:tcPr>
            <w:tcW w:w="4108" w:type="pct"/>
            <w:noWrap w:val="0"/>
            <w:vAlign w:val="center"/>
          </w:tcPr>
          <w:p w14:paraId="5BFFCB7E">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精准检测恶意攻击源、扫描源，并可基于告警风险值、或者定向源进行屏蔽，使漏洞扫描器、恶意攻击源无法扫描到主机存在的漏洞，包括可利用漏洞、版本漏洞。</w:t>
            </w:r>
          </w:p>
          <w:p w14:paraId="5084C623">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提供漏洞屏蔽模式功能，支持通过漏洞建模实现高、中危漏洞的无效化。</w:t>
            </w:r>
          </w:p>
          <w:p w14:paraId="1DE68445">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3AB1A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71E7A30F">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20</w:t>
            </w:r>
          </w:p>
        </w:tc>
        <w:tc>
          <w:tcPr>
            <w:tcW w:w="505" w:type="pct"/>
            <w:noWrap w:val="0"/>
            <w:vAlign w:val="center"/>
          </w:tcPr>
          <w:p w14:paraId="4568AEDB">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本地AI模型研判</w:t>
            </w:r>
          </w:p>
        </w:tc>
        <w:tc>
          <w:tcPr>
            <w:tcW w:w="4108" w:type="pct"/>
            <w:noWrap w:val="0"/>
            <w:vAlign w:val="center"/>
          </w:tcPr>
          <w:p w14:paraId="77218556">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提供本地AI模型，联动分析“流量、蜜罐、主机”三者告警结论，关联“资产+漏洞”信息，辅助输出综合研判结果：</w:t>
            </w:r>
            <w:r>
              <w:rPr>
                <w:rFonts w:hint="eastAsia" w:ascii="仿宋" w:hAnsi="仿宋" w:eastAsia="仿宋" w:cs="仿宋"/>
                <w:color w:val="auto"/>
                <w:kern w:val="0"/>
                <w:sz w:val="24"/>
                <w:szCs w:val="24"/>
                <w:highlight w:val="none"/>
                <w:lang w:bidi="ar"/>
              </w:rPr>
              <w:br w:type="textWrapping"/>
            </w:r>
            <w:r>
              <w:rPr>
                <w:rFonts w:hint="eastAsia" w:ascii="仿宋" w:hAnsi="仿宋" w:eastAsia="仿宋" w:cs="仿宋"/>
                <w:color w:val="auto"/>
                <w:kern w:val="0"/>
                <w:sz w:val="24"/>
                <w:szCs w:val="24"/>
                <w:highlight w:val="none"/>
                <w:lang w:bidi="ar"/>
              </w:rPr>
              <w:t>1.给攻击源IP定性并打上攻击者标签，如：非法外联、外网恶意攻击、内网恶意攻击、漏洞利用成功等。</w:t>
            </w:r>
            <w:r>
              <w:rPr>
                <w:rFonts w:hint="eastAsia" w:ascii="仿宋" w:hAnsi="仿宋" w:eastAsia="仿宋" w:cs="仿宋"/>
                <w:color w:val="auto"/>
                <w:kern w:val="0"/>
                <w:sz w:val="24"/>
                <w:szCs w:val="24"/>
                <w:highlight w:val="none"/>
                <w:lang w:bidi="ar"/>
              </w:rPr>
              <w:br w:type="textWrapping"/>
            </w:r>
            <w:r>
              <w:rPr>
                <w:rFonts w:hint="eastAsia" w:ascii="仿宋" w:hAnsi="仿宋" w:eastAsia="仿宋" w:cs="仿宋"/>
                <w:color w:val="auto"/>
                <w:kern w:val="0"/>
                <w:sz w:val="24"/>
                <w:szCs w:val="24"/>
                <w:highlight w:val="none"/>
                <w:lang w:bidi="ar"/>
              </w:rPr>
              <w:t>2.输出攻击源资产画像，包括网络区域、主机名称、MAC地址等。</w:t>
            </w:r>
          </w:p>
          <w:p w14:paraId="311F2057">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3F44BD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6A7B5A18">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21</w:t>
            </w:r>
          </w:p>
        </w:tc>
        <w:tc>
          <w:tcPr>
            <w:tcW w:w="505" w:type="pct"/>
            <w:noWrap w:val="0"/>
            <w:vAlign w:val="center"/>
          </w:tcPr>
          <w:p w14:paraId="26CD0875">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多静态智能体并行审计</w:t>
            </w:r>
          </w:p>
        </w:tc>
        <w:tc>
          <w:tcPr>
            <w:tcW w:w="4108" w:type="pct"/>
            <w:noWrap w:val="0"/>
            <w:vAlign w:val="center"/>
          </w:tcPr>
          <w:p w14:paraId="1888119B">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6种智能体Agent进行自动化代码审计，包括但不限于支持SQL注入、权限、SSRF、反序列化、逻辑漏洞、信息泄露等代码分析，可审计范围包括但不限于注入漏洞分析(SQL/NoSQL/命令/LDAP等)、认证与会话分析（认证绕过/弱口令/权限缺陷等）、文件与SSRF分析（文件包含/任意文件/SSRF等）、反序列化分析（反序列化漏洞与利用链分析）业务逻辑分析（越权/逻辑缺陷/支付/验证息等）、信息泄漏分析（敏感信息泄漏/配置泄漏/调证信息等）。</w:t>
            </w:r>
          </w:p>
          <w:p w14:paraId="1F284572">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744BD6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5E974E2B">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22</w:t>
            </w:r>
          </w:p>
        </w:tc>
        <w:tc>
          <w:tcPr>
            <w:tcW w:w="505" w:type="pct"/>
            <w:noWrap w:val="0"/>
            <w:vAlign w:val="center"/>
          </w:tcPr>
          <w:p w14:paraId="0D5D8000">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多智能体并行web渗透测试</w:t>
            </w:r>
          </w:p>
        </w:tc>
        <w:tc>
          <w:tcPr>
            <w:tcW w:w="4108" w:type="pct"/>
            <w:noWrap w:val="0"/>
            <w:vAlign w:val="center"/>
          </w:tcPr>
          <w:p w14:paraId="75F1D465">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6种智能体Agent进行自动化渗透测试，包括但不限于覆盖注入漏洞、认证绕过、文件处理、API安全、业务逻辑、通用安全等多个测试方向，要求每个智能体能独立输出以下内容，包含但不限于测试接口、漏洞列表、类型/严重程度、是否需要登录、完整HTTP请求/响应证据。</w:t>
            </w:r>
          </w:p>
          <w:p w14:paraId="43270308">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sz w:val="24"/>
                <w:szCs w:val="24"/>
                <w:highlight w:val="none"/>
                <w:lang w:eastAsia="zh-CN"/>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266B56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2C4D407D">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23</w:t>
            </w:r>
          </w:p>
        </w:tc>
        <w:tc>
          <w:tcPr>
            <w:tcW w:w="505" w:type="pct"/>
            <w:noWrap w:val="0"/>
            <w:vAlign w:val="center"/>
          </w:tcPr>
          <w:p w14:paraId="7511CA2F">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highlight w:val="none"/>
              </w:rPr>
            </w:pPr>
            <w:r>
              <w:rPr>
                <w:rFonts w:hint="eastAsia" w:ascii="仿宋" w:hAnsi="仿宋" w:eastAsia="仿宋" w:cs="仿宋"/>
                <w:color w:val="auto"/>
                <w:kern w:val="0"/>
                <w:sz w:val="24"/>
                <w:szCs w:val="24"/>
                <w:highlight w:val="none"/>
                <w:lang w:bidi="ar"/>
              </w:rPr>
              <w:t>大屏展示</w:t>
            </w:r>
          </w:p>
        </w:tc>
        <w:tc>
          <w:tcPr>
            <w:tcW w:w="4108" w:type="pct"/>
            <w:noWrap w:val="0"/>
            <w:vAlign w:val="center"/>
          </w:tcPr>
          <w:p w14:paraId="10D17951">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bidi="ar"/>
              </w:rPr>
            </w:pPr>
            <w:r>
              <w:rPr>
                <w:rFonts w:hint="eastAsia" w:ascii="仿宋" w:hAnsi="仿宋" w:eastAsia="仿宋" w:cs="仿宋"/>
                <w:color w:val="auto"/>
                <w:kern w:val="0"/>
                <w:sz w:val="24"/>
                <w:szCs w:val="24"/>
                <w:highlight w:val="none"/>
                <w:lang w:bidi="ar"/>
              </w:rPr>
              <w:t>提供大屏展示功能，可视化呈现可统一展现蜜罐告警事件、主机威胁事件、流量检测告警，事件及告警结果，7*24小时实时监控安全威胁数据。包括主机资产监测概况、攻击监测诱饵监测概况，大屏界面能够自动刷新监测数据，实时展示最新监测结果。</w:t>
            </w:r>
          </w:p>
          <w:p w14:paraId="63CBD775">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highlight w:val="none"/>
                <w:lang w:eastAsia="zh-CN" w:bidi="ar"/>
              </w:rPr>
            </w:pPr>
            <w:r>
              <w:rPr>
                <w:rFonts w:hint="eastAsia" w:ascii="仿宋" w:hAnsi="仿宋" w:eastAsia="仿宋" w:cs="仿宋"/>
                <w:color w:val="auto"/>
                <w:kern w:val="0"/>
                <w:sz w:val="24"/>
                <w:szCs w:val="24"/>
                <w:highlight w:val="none"/>
                <w:lang w:eastAsia="zh-CN" w:bidi="ar"/>
              </w:rPr>
              <w:t>提供合法来源渠道证明材料：包括但不限于：带链接的官网截图或产品界面截图或产品彩页或厂家授权或检测报告等。佐证材料与技术响应偏离表响应内容不一致的，以佐证材料为准。</w:t>
            </w:r>
          </w:p>
        </w:tc>
      </w:tr>
      <w:tr w14:paraId="23F196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85" w:type="pct"/>
            <w:noWrap w:val="0"/>
            <w:vAlign w:val="center"/>
          </w:tcPr>
          <w:p w14:paraId="4864E94E">
            <w:pPr>
              <w:keepNext w:val="0"/>
              <w:keepLines w:val="0"/>
              <w:pageBreakBefore w:val="0"/>
              <w:kinsoku/>
              <w:wordWrap/>
              <w:overflowPunct/>
              <w:topLinePunct w:val="0"/>
              <w:autoSpaceDE/>
              <w:autoSpaceDN/>
              <w:bidi w:val="0"/>
              <w:adjustRightInd/>
              <w:snapToGrid/>
              <w:spacing w:line="293" w:lineRule="auto"/>
              <w:jc w:val="center"/>
              <w:rPr>
                <w:rFonts w:hint="eastAsia" w:ascii="仿宋" w:hAnsi="仿宋" w:eastAsia="仿宋" w:cs="仿宋"/>
                <w:color w:val="auto"/>
                <w:sz w:val="24"/>
                <w:szCs w:val="24"/>
              </w:rPr>
            </w:pPr>
            <w:r>
              <w:rPr>
                <w:rFonts w:hint="eastAsia" w:ascii="仿宋" w:hAnsi="仿宋" w:eastAsia="仿宋" w:cs="仿宋"/>
                <w:color w:val="auto"/>
                <w:sz w:val="24"/>
                <w:szCs w:val="24"/>
              </w:rPr>
              <w:t>24</w:t>
            </w:r>
          </w:p>
        </w:tc>
        <w:tc>
          <w:tcPr>
            <w:tcW w:w="505" w:type="pct"/>
            <w:noWrap w:val="0"/>
            <w:vAlign w:val="center"/>
          </w:tcPr>
          <w:p w14:paraId="4D0F20DB">
            <w:pPr>
              <w:keepNext w:val="0"/>
              <w:keepLines w:val="0"/>
              <w:pageBreakBefore w:val="0"/>
              <w:widowControl/>
              <w:kinsoku/>
              <w:wordWrap/>
              <w:overflowPunct/>
              <w:topLinePunct w:val="0"/>
              <w:autoSpaceDE/>
              <w:autoSpaceDN/>
              <w:bidi w:val="0"/>
              <w:adjustRightInd/>
              <w:snapToGrid/>
              <w:spacing w:line="293" w:lineRule="auto"/>
              <w:jc w:val="center"/>
              <w:textAlignment w:val="center"/>
              <w:rPr>
                <w:rFonts w:hint="eastAsia" w:ascii="仿宋" w:hAnsi="仿宋" w:eastAsia="仿宋" w:cs="仿宋"/>
                <w:color w:val="auto"/>
                <w:sz w:val="24"/>
                <w:szCs w:val="24"/>
              </w:rPr>
            </w:pPr>
            <w:r>
              <w:rPr>
                <w:rFonts w:hint="eastAsia" w:ascii="仿宋" w:hAnsi="仿宋" w:eastAsia="仿宋" w:cs="仿宋"/>
                <w:color w:val="auto"/>
                <w:kern w:val="0"/>
                <w:sz w:val="24"/>
                <w:szCs w:val="24"/>
                <w:lang w:bidi="ar"/>
              </w:rPr>
              <w:t>告警及应急响应</w:t>
            </w:r>
          </w:p>
        </w:tc>
        <w:tc>
          <w:tcPr>
            <w:tcW w:w="4108" w:type="pct"/>
            <w:noWrap w:val="0"/>
            <w:vAlign w:val="center"/>
          </w:tcPr>
          <w:p w14:paraId="7FC6000F">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提供通过邮箱、企业微信、钉钉、飞书等方式7*24小时实时预警，如遭受严重攻击，投标方需在接到甲方服务需求后派遣安全服务工程师1小时内到达甲方现场，配合甲方进行攻击溯源、应急处置、业务恢复等工作。</w:t>
            </w:r>
          </w:p>
          <w:p w14:paraId="726F387B">
            <w:pPr>
              <w:keepNext w:val="0"/>
              <w:keepLines w:val="0"/>
              <w:pageBreakBefore w:val="0"/>
              <w:widowControl/>
              <w:kinsoku/>
              <w:wordWrap/>
              <w:overflowPunct/>
              <w:topLinePunct w:val="0"/>
              <w:autoSpaceDE/>
              <w:autoSpaceDN/>
              <w:bidi w:val="0"/>
              <w:adjustRightInd/>
              <w:snapToGrid/>
              <w:spacing w:line="293" w:lineRule="auto"/>
              <w:jc w:val="left"/>
              <w:textAlignment w:val="center"/>
              <w:rPr>
                <w:rFonts w:hint="eastAsia" w:ascii="仿宋" w:hAnsi="仿宋" w:eastAsia="仿宋" w:cs="仿宋"/>
                <w:color w:val="auto"/>
                <w:kern w:val="0"/>
                <w:sz w:val="24"/>
                <w:szCs w:val="24"/>
                <w:lang w:bidi="ar"/>
              </w:rPr>
            </w:pPr>
            <w:r>
              <w:rPr>
                <w:rFonts w:hint="eastAsia" w:ascii="仿宋" w:hAnsi="仿宋" w:eastAsia="仿宋" w:cs="仿宋"/>
                <w:color w:val="auto"/>
                <w:kern w:val="0"/>
                <w:sz w:val="24"/>
                <w:szCs w:val="24"/>
                <w:lang w:bidi="ar"/>
              </w:rPr>
              <w:t>提供加盖</w:t>
            </w:r>
            <w:r>
              <w:rPr>
                <w:rFonts w:hint="eastAsia" w:ascii="仿宋" w:hAnsi="仿宋" w:eastAsia="仿宋" w:cs="仿宋"/>
                <w:color w:val="auto"/>
                <w:kern w:val="0"/>
                <w:sz w:val="24"/>
                <w:szCs w:val="24"/>
                <w:lang w:val="en-US" w:eastAsia="zh-CN" w:bidi="ar"/>
              </w:rPr>
              <w:t>供应商</w:t>
            </w:r>
            <w:r>
              <w:rPr>
                <w:rFonts w:hint="eastAsia" w:ascii="仿宋" w:hAnsi="仿宋" w:eastAsia="仿宋" w:cs="仿宋"/>
                <w:color w:val="auto"/>
                <w:kern w:val="0"/>
                <w:sz w:val="24"/>
                <w:szCs w:val="24"/>
                <w:lang w:bidi="ar"/>
              </w:rPr>
              <w:t>公章的承诺函。</w:t>
            </w:r>
          </w:p>
        </w:tc>
      </w:tr>
    </w:tbl>
    <w:p w14:paraId="788047F2">
      <w:pPr>
        <w:spacing w:line="580" w:lineRule="exact"/>
        <w:outlineLvl w:val="9"/>
      </w:pPr>
      <w:r>
        <w:rPr>
          <w:rFonts w:hint="eastAsia" w:ascii="仿宋" w:hAnsi="仿宋" w:eastAsia="仿宋" w:cs="仿宋"/>
          <w:b/>
          <w:color w:val="auto"/>
          <w:kern w:val="44"/>
          <w:sz w:val="28"/>
          <w:szCs w:val="28"/>
          <w:highlight w:val="none"/>
          <w:lang w:val="en-US" w:eastAsia="zh-CN"/>
        </w:rPr>
        <w:t>注：</w:t>
      </w:r>
      <w:r>
        <w:rPr>
          <w:rFonts w:hint="eastAsia" w:ascii="仿宋" w:hAnsi="仿宋" w:eastAsia="仿宋" w:cs="仿宋"/>
          <w:b/>
          <w:bCs w:val="0"/>
          <w:color w:val="auto"/>
          <w:kern w:val="44"/>
          <w:sz w:val="28"/>
          <w:szCs w:val="28"/>
          <w:highlight w:val="none"/>
          <w:lang w:val="en-US" w:eastAsia="zh-CN"/>
        </w:rPr>
        <w:t>本项目所有参数要求均须满足或优于谈判文件要求，并按参数中的要求提供证明材料，不满足参数要求或未提供证明材料的，按无效文件处理。</w:t>
      </w:r>
    </w:p>
    <w:sectPr>
      <w:headerReference r:id="rId5" w:type="default"/>
      <w:footerReference r:id="rId6" w:type="default"/>
      <w:pgSz w:w="11906" w:h="16838"/>
      <w:pgMar w:top="1440" w:right="1800" w:bottom="1440" w:left="1800" w:header="851" w:footer="992" w:gutter="0"/>
      <w:cols w:space="425" w:num="1"/>
      <w:docGrid w:type="lines" w:linePitch="312"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
    <w:panose1 w:val="02010609060101010101"/>
    <w:charset w:val="86"/>
    <w:family w:val="modern"/>
    <w:pitch w:val="default"/>
    <w:sig w:usb0="800002BF" w:usb1="38CF7CFA" w:usb2="00000016" w:usb3="00000000" w:csb0="00040001" w:csb1="00000000"/>
  </w:font>
  <w:font w:name="楷体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0CC15F">
    <w:pPr>
      <w:pStyle w:val="3"/>
      <w:ind w:firstLine="180" w:firstLineChars="100"/>
      <w:rPr>
        <w:rFonts w:hint="eastAsia" w:ascii="宋体" w:hAnsi="宋体"/>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line="324" w:lineRule="auto"/>
      </w:pPr>
      <w:r>
        <w:separator/>
      </w:r>
    </w:p>
  </w:footnote>
  <w:footnote w:type="continuationSeparator" w:id="1">
    <w:p>
      <w:pPr>
        <w:spacing w:line="324"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7D1D9E9">
    <w:pPr>
      <w:pStyle w:val="4"/>
      <w:pBdr>
        <w:bottom w:val="none" w:color="auto" w:sz="0" w:space="0"/>
      </w:pBdr>
      <w:tabs>
        <w:tab w:val="left" w:pos="9072"/>
        <w:tab w:val="clear" w:pos="8306"/>
      </w:tabs>
      <w:jc w:val="left"/>
      <w:rPr>
        <w:rFonts w:hint="eastAsia"/>
        <w:color w:val="auto"/>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footnotePr>
    <w:footnote w:id="0"/>
    <w:footnote w:id="1"/>
  </w:footnotePr>
  <w:endnotePr>
    <w:endnote w:id="0"/>
    <w:endnote w:id="1"/>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3A1D0D76"/>
    <w:rsid w:val="3A1D0D7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99"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iPriority="9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spacing w:line="324" w:lineRule="auto"/>
      <w:jc w:val="both"/>
    </w:pPr>
    <w:rPr>
      <w:rFonts w:ascii="Times New Roman" w:hAnsi="Times New Roman" w:eastAsia="宋体" w:cs="Times New Roman"/>
      <w:kern w:val="2"/>
      <w:sz w:val="21"/>
      <w:szCs w:val="24"/>
      <w:lang w:val="en-US" w:eastAsia="zh-CN" w:bidi="ar-SA"/>
    </w:rPr>
  </w:style>
  <w:style w:type="character" w:default="1" w:styleId="8">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Normal Indent"/>
    <w:basedOn w:val="1"/>
    <w:uiPriority w:val="0"/>
    <w:pPr>
      <w:autoSpaceDE w:val="0"/>
      <w:autoSpaceDN w:val="0"/>
      <w:adjustRightInd w:val="0"/>
      <w:spacing w:line="640" w:lineRule="exact"/>
      <w:ind w:firstLine="585"/>
    </w:pPr>
    <w:rPr>
      <w:rFonts w:ascii="楷体_GB2312" w:eastAsia="楷体_GB2312"/>
      <w:kern w:val="0"/>
      <w:sz w:val="32"/>
      <w:szCs w:val="32"/>
    </w:rPr>
  </w:style>
  <w:style w:type="paragraph" w:styleId="3">
    <w:name w:val="footer"/>
    <w:basedOn w:val="1"/>
    <w:qFormat/>
    <w:uiPriority w:val="99"/>
    <w:pPr>
      <w:tabs>
        <w:tab w:val="center" w:pos="4153"/>
        <w:tab w:val="right" w:pos="8306"/>
      </w:tabs>
      <w:snapToGrid w:val="0"/>
      <w:jc w:val="left"/>
    </w:pPr>
    <w:rPr>
      <w:sz w:val="18"/>
      <w:szCs w:val="18"/>
    </w:rPr>
  </w:style>
  <w:style w:type="paragraph" w:styleId="4">
    <w:name w:val="header"/>
    <w:basedOn w:val="1"/>
    <w:qFormat/>
    <w:uiPriority w:val="99"/>
    <w:pPr>
      <w:pBdr>
        <w:bottom w:val="single" w:color="auto" w:sz="6" w:space="1"/>
      </w:pBdr>
      <w:tabs>
        <w:tab w:val="center" w:pos="4153"/>
        <w:tab w:val="right" w:pos="8306"/>
      </w:tabs>
      <w:snapToGrid w:val="0"/>
      <w:spacing w:line="240" w:lineRule="auto"/>
      <w:jc w:val="center"/>
    </w:pPr>
    <w:rPr>
      <w:sz w:val="18"/>
      <w:szCs w:val="18"/>
    </w:rPr>
  </w:style>
  <w:style w:type="paragraph" w:styleId="5">
    <w:name w:val="Subtitle"/>
    <w:basedOn w:val="1"/>
    <w:next w:val="1"/>
    <w:qFormat/>
    <w:uiPriority w:val="0"/>
    <w:pPr>
      <w:spacing w:before="240" w:after="60" w:line="312" w:lineRule="auto"/>
      <w:jc w:val="center"/>
      <w:outlineLvl w:val="1"/>
    </w:pPr>
    <w:rPr>
      <w:rFonts w:ascii="Cambria" w:hAnsi="Cambria" w:eastAsia="仿宋"/>
      <w:b/>
      <w:bCs/>
      <w:kern w:val="28"/>
      <w:sz w:val="36"/>
      <w:szCs w:val="32"/>
    </w:rPr>
  </w:style>
  <w:style w:type="table" w:styleId="7">
    <w:name w:val="Table Grid"/>
    <w:basedOn w:val="6"/>
    <w:unhideWhenUsed/>
    <w:qFormat/>
    <w:uiPriority w:val="9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theme" Target="theme/theme1.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2026-09-18T01:38:00Z</dcterms:created>
  <dc:creator>puppet</dc:creator>
  <cp:lastModifiedBy>puppet</cp:lastModifiedBy>
  <dcterms:modified xsi:type="dcterms:W3CDTF">2026-09-18T01:39:00Z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EE5D860082C04B9C91B379126728E61B_11</vt:lpwstr>
  </property>
  <property fmtid="{D5CDD505-2E9C-101B-9397-08002B2CF9AE}" pid="4" name="KSOTemplateDocerSaveRecord">
    <vt:lpwstr>eyJoZGlkIjoiMjkxNWJmNmM2NmE2Zjg4OWUwY2RmMzAyMjEyYjI5YTIiLCJ1c2VySWQiOiI2NjUzNDI1ODcifQ==</vt:lpwstr>
  </property>
</Properties>
</file>