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AFB5BA">
      <w:pPr>
        <w:pStyle w:val="4"/>
        <w:jc w:val="center"/>
        <w:outlineLvl w:val="2"/>
        <w:rPr>
          <w:rFonts w:hint="eastAsia" w:ascii="仿宋_GB2312" w:hAnsi="仿宋_GB2312" w:eastAsia="仿宋_GB2312" w:cs="仿宋_GB2312"/>
          <w:b/>
          <w:sz w:val="28"/>
          <w:lang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曲江新区城管执法大队工作用车燃油采购</w:t>
      </w:r>
    </w:p>
    <w:p w14:paraId="71567FFB">
      <w:pPr>
        <w:pStyle w:val="4"/>
        <w:jc w:val="center"/>
        <w:outlineLvl w:val="2"/>
        <w:rPr>
          <w:rFonts w:hint="default" w:ascii="仿宋_GB2312" w:hAnsi="仿宋_GB2312" w:eastAsia="仿宋_GB2312" w:cs="仿宋_GB2312"/>
          <w:b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采购需求</w:t>
      </w:r>
    </w:p>
    <w:p w14:paraId="3AB40DD9">
      <w:pPr>
        <w:pStyle w:val="4"/>
        <w:rPr>
          <w:rFonts w:ascii="仿宋_GB2312" w:hAnsi="仿宋_GB2312" w:eastAsia="仿宋_GB2312" w:cs="仿宋_GB2312"/>
          <w:b/>
        </w:rPr>
      </w:pPr>
    </w:p>
    <w:p w14:paraId="070C9F5D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bookmarkStart w:id="0" w:name="_GoBack"/>
      <w:r>
        <w:rPr>
          <w:rFonts w:ascii="仿宋_GB2312" w:hAnsi="仿宋_GB2312" w:eastAsia="仿宋_GB2312" w:cs="仿宋_GB2312"/>
          <w:b/>
          <w:sz w:val="24"/>
          <w:szCs w:val="24"/>
        </w:rPr>
        <w:t>一、项目概况</w:t>
      </w:r>
    </w:p>
    <w:p w14:paraId="66F0E905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/>
        <w:textAlignment w:val="auto"/>
        <w:rPr>
          <w:sz w:val="24"/>
          <w:szCs w:val="24"/>
          <w:highlight w:val="none"/>
        </w:rPr>
      </w:pPr>
      <w:r>
        <w:rPr>
          <w:rFonts w:ascii="仿宋_GB2312" w:hAnsi="仿宋_GB2312" w:eastAsia="仿宋_GB2312" w:cs="仿宋_GB2312"/>
          <w:sz w:val="24"/>
          <w:szCs w:val="24"/>
        </w:rPr>
        <w:t>采购人目前</w:t>
      </w:r>
      <w:r>
        <w:rPr>
          <w:rFonts w:ascii="仿宋_GB2312" w:hAnsi="仿宋_GB2312" w:eastAsia="仿宋_GB2312" w:cs="仿宋_GB2312"/>
          <w:sz w:val="24"/>
          <w:szCs w:val="24"/>
          <w:highlight w:val="none"/>
        </w:rPr>
        <w:t>执法范围51.5平方公里，工作模式分长白班和倒班模式（四班三运转），现有执法车辆共计5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7</w:t>
      </w:r>
      <w:r>
        <w:rPr>
          <w:rFonts w:ascii="仿宋_GB2312" w:hAnsi="仿宋_GB2312" w:eastAsia="仿宋_GB2312" w:cs="仿宋_GB2312"/>
          <w:sz w:val="24"/>
          <w:szCs w:val="24"/>
          <w:highlight w:val="none"/>
        </w:rPr>
        <w:t>台（其中面包车45台，皮卡7台，拖车1台，金杯客车3台，日产帕拉丁1台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）</w:t>
      </w:r>
      <w:r>
        <w:rPr>
          <w:rFonts w:ascii="仿宋_GB2312" w:hAnsi="仿宋_GB2312" w:eastAsia="仿宋_GB2312" w:cs="仿宋_GB2312"/>
          <w:sz w:val="24"/>
          <w:szCs w:val="24"/>
          <w:highlight w:val="none"/>
        </w:rPr>
        <w:t>。根据工作需要，现需采购车辆燃油。</w:t>
      </w:r>
    </w:p>
    <w:p w14:paraId="7AB4C0F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  <w:highlight w:val="none"/>
        </w:rPr>
      </w:pPr>
      <w:r>
        <w:rPr>
          <w:rFonts w:ascii="仿宋_GB2312" w:hAnsi="仿宋_GB2312" w:eastAsia="仿宋_GB2312" w:cs="仿宋_GB2312"/>
          <w:b/>
          <w:sz w:val="24"/>
          <w:szCs w:val="24"/>
          <w:highlight w:val="none"/>
        </w:rPr>
        <w:t>二、项目要求</w:t>
      </w:r>
    </w:p>
    <w:p w14:paraId="6DCAADC1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  <w:highlight w:val="none"/>
        </w:rPr>
      </w:pPr>
      <w:r>
        <w:rPr>
          <w:rFonts w:ascii="仿宋_GB2312" w:hAnsi="仿宋_GB2312" w:eastAsia="仿宋_GB2312" w:cs="仿宋_GB2312"/>
          <w:sz w:val="24"/>
          <w:szCs w:val="24"/>
          <w:highlight w:val="none"/>
        </w:rPr>
        <w:t>1、燃油型号要求：提供92#号汽油、柴油；</w:t>
      </w:r>
    </w:p>
    <w:p w14:paraId="5F088BC3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  <w:highlight w:val="none"/>
        </w:rPr>
        <w:t>2、油品质量要求：油品符合现行国家标准，保质保</w:t>
      </w:r>
      <w:r>
        <w:rPr>
          <w:rFonts w:ascii="仿宋_GB2312" w:hAnsi="仿宋_GB2312" w:eastAsia="仿宋_GB2312" w:cs="仿宋_GB2312"/>
          <w:sz w:val="24"/>
          <w:szCs w:val="24"/>
        </w:rPr>
        <w:t>量，检验合格；</w:t>
      </w:r>
    </w:p>
    <w:p w14:paraId="188E6C2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3、服务及安全要求：</w:t>
      </w:r>
    </w:p>
    <w:p w14:paraId="6FB72695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3-1、供应商需提供24小时全天候安全、快捷加油服务；</w:t>
      </w:r>
    </w:p>
    <w:p w14:paraId="614463D1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3-2、供应商工作人员需执行凭卡加油管理制度，对采购人加油时违反规定等其他行为，有权拒绝并及时向采购人反映；</w:t>
      </w:r>
    </w:p>
    <w:p w14:paraId="4BA165C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3-3、供应商需认真落实消防安全责任制，确保加油车辆在加油时的安全，如因供应商安全生产措施不力，造成车辆损失的，负赔偿责任；</w:t>
      </w:r>
    </w:p>
    <w:p w14:paraId="2E3A5F92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3-4、为减少采购人车辆在加油途中的路线绕行、行路交通违法行为等，供应商需在位于曲江新区及曲江沿线设有固定加油站点。</w:t>
      </w:r>
    </w:p>
    <w:p w14:paraId="6A35856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_GB2312" w:hAnsi="仿宋_GB2312" w:eastAsia="仿宋_GB2312" w:cs="仿宋_GB2312"/>
          <w:b/>
          <w:sz w:val="24"/>
          <w:szCs w:val="24"/>
        </w:rPr>
      </w:pPr>
      <w:r>
        <w:rPr>
          <w:rFonts w:ascii="仿宋_GB2312" w:hAnsi="仿宋_GB2312" w:eastAsia="仿宋_GB2312" w:cs="仿宋_GB2312"/>
          <w:b/>
          <w:sz w:val="24"/>
          <w:szCs w:val="24"/>
        </w:rPr>
        <w:t>三、服务期限：一年</w:t>
      </w:r>
    </w:p>
    <w:p w14:paraId="235CC36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四、其他要求</w:t>
      </w:r>
    </w:p>
    <w:p w14:paraId="07C85B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因本项目投标报价为下浮率，供应商在响应报价时，标的清单中的单价和总价填写本项目采购预算。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83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2026-07-27T07:15:54Z</dcterms:created>
  <dc:creator>Administrator</dc:creator>
  <cp:lastModifiedBy>高蕊玲</cp:lastModifiedBy>
  <dcterms:modified xsi:type="dcterms:W3CDTF">2026-07-27T07:16:32Z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eyJoZGlkIjoiOTgxNmNmZjVhMmM4MDAwYWIyMDJhZTY2MmY2ZmMyNzciLCJ1c2VySWQiOiIxNjY0MTM3NDI2In0=</vt:lpwstr>
  </property>
  <property fmtid="{D5CDD505-2E9C-101B-9397-08002B2CF9AE}" pid="4" name="ICV">
    <vt:lpwstr>E59B64B8B2D64914956519689661052E_12</vt:lpwstr>
  </property>
</Properties>
</file>