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版本号：TYRZHC-2026-01720260820003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2026校友招商暨交流活动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TYRZHC-2026-017</w:t>
      </w:r>
      <w:r>
        <w:br/>
      </w:r>
      <w:r>
        <w:br/>
      </w:r>
      <w:r>
        <w:br/>
      </w:r>
    </w:p>
    <w:p>
      <w:pPr>
        <w:pStyle w:val="null3"/>
        <w:jc w:val="center"/>
        <w:outlineLvl w:val="2"/>
      </w:pPr>
      <w:r>
        <w:rPr>
          <w:rFonts w:ascii="仿宋_GB2312" w:hAnsi="仿宋_GB2312" w:cs="仿宋_GB2312" w:eastAsia="仿宋_GB2312"/>
          <w:sz w:val="28"/>
          <w:b/>
        </w:rPr>
        <w:t>西安市科学技术局（本级）</w:t>
      </w:r>
    </w:p>
    <w:p>
      <w:pPr>
        <w:pStyle w:val="null3"/>
        <w:jc w:val="center"/>
        <w:outlineLvl w:val="2"/>
      </w:pPr>
      <w:r>
        <w:rPr>
          <w:rFonts w:ascii="仿宋_GB2312" w:hAnsi="仿宋_GB2312" w:cs="仿宋_GB2312" w:eastAsia="仿宋_GB2312"/>
          <w:sz w:val="28"/>
          <w:b/>
        </w:rPr>
        <w:t>天煜荣泽工程咨询有限公司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天煜荣泽工程咨询有限公司</w:t>
      </w:r>
      <w:r>
        <w:rPr>
          <w:rFonts w:ascii="仿宋_GB2312" w:hAnsi="仿宋_GB2312" w:cs="仿宋_GB2312" w:eastAsia="仿宋_GB2312"/>
        </w:rPr>
        <w:t>（以下简称“代理机构”）受</w:t>
      </w:r>
      <w:r>
        <w:rPr>
          <w:rFonts w:ascii="仿宋_GB2312" w:hAnsi="仿宋_GB2312" w:cs="仿宋_GB2312" w:eastAsia="仿宋_GB2312"/>
        </w:rPr>
        <w:t>西安市科学技术局（本级）</w:t>
      </w:r>
      <w:r>
        <w:rPr>
          <w:rFonts w:ascii="仿宋_GB2312" w:hAnsi="仿宋_GB2312" w:cs="仿宋_GB2312" w:eastAsia="仿宋_GB2312"/>
        </w:rPr>
        <w:t>委托，拟对</w:t>
      </w:r>
      <w:r>
        <w:rPr>
          <w:rFonts w:ascii="仿宋_GB2312" w:hAnsi="仿宋_GB2312" w:cs="仿宋_GB2312" w:eastAsia="仿宋_GB2312"/>
        </w:rPr>
        <w:t>2026校友招商暨交流活动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TYRZHC-2026-017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2026校友招商暨交流活动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当前，数字科技迭代升级提速，人工智能已成为驱动新一轮科技革命和产业变革的核心引擎，是各地区抢占未来产业发展制高点的关键抓手。西安依托科教资源富集、产业体系完备、场景资源丰富的优势，正全力建设西部领先的人工智能产业创新发展高地。为深化西安与杭州、成都的产业协同联动，精准对接优质人工智能企业、前沿技术、产业资本与高端人才资源，赋能西安重点产业链数字化、智能化升级，拓宽产业合作通道、搭建供需对接平台，西安市科技局拟在杭州、成都两地各举办1场人工智能产业校友招商暨交流活动。为统筹做好活动全流程筹备工作，确保活动规范、圆满举办，现对本项目进行公开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采购包1（2026校友招商暨交流活动项目（杭州））：属于专门面向中小企业采购。</w:t>
      </w:r>
    </w:p>
    <w:p>
      <w:pPr>
        <w:pStyle w:val="null3"/>
      </w:pPr>
      <w:r>
        <w:rPr>
          <w:rFonts w:ascii="仿宋_GB2312" w:hAnsi="仿宋_GB2312" w:cs="仿宋_GB2312" w:eastAsia="仿宋_GB2312"/>
        </w:rPr>
        <w:t>采购包2（2026校友招商暨交流活动（成都））：属于专门面向中小企业采购。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1、具有独立承担民事责任的能力：供应商应是独立承担民事责任能力的法人、其他组织或自然人，法人、其他组织须提供合法有效的营业执照或事业单位法人证等证明资料，自然人须提供身份证明；</w:t>
      </w:r>
    </w:p>
    <w:p>
      <w:pPr>
        <w:pStyle w:val="null3"/>
      </w:pPr>
      <w:r>
        <w:rPr>
          <w:rFonts w:ascii="仿宋_GB2312" w:hAnsi="仿宋_GB2312" w:cs="仿宋_GB2312" w:eastAsia="仿宋_GB2312"/>
        </w:rPr>
        <w:t>2、财务状况报告：提供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3、税收缴纳证明：提供投标截止前半年内任意一个月的完税证明，依法免税的单位应提供相关证明材料；</w:t>
      </w:r>
    </w:p>
    <w:p>
      <w:pPr>
        <w:pStyle w:val="null3"/>
      </w:pPr>
      <w:r>
        <w:rPr>
          <w:rFonts w:ascii="仿宋_GB2312" w:hAnsi="仿宋_GB2312" w:cs="仿宋_GB2312" w:eastAsia="仿宋_GB2312"/>
        </w:rPr>
        <w:t>4、社会保障资金缴纳证明：提供投标截止前半年内任意一个月的缴纳社会保险凭证，依法不需要缴纳社会保障资金的单位应提供相关证明材料；</w:t>
      </w:r>
    </w:p>
    <w:p>
      <w:pPr>
        <w:pStyle w:val="null3"/>
      </w:pPr>
      <w:r>
        <w:rPr>
          <w:rFonts w:ascii="仿宋_GB2312" w:hAnsi="仿宋_GB2312" w:cs="仿宋_GB2312" w:eastAsia="仿宋_GB2312"/>
        </w:rPr>
        <w:t>5、无重大违法声明：参加政府采购活动前3年内，在经营活动中没有重大违法记录的书面声明；</w:t>
      </w:r>
    </w:p>
    <w:p>
      <w:pPr>
        <w:pStyle w:val="null3"/>
      </w:pPr>
      <w:r>
        <w:rPr>
          <w:rFonts w:ascii="仿宋_GB2312" w:hAnsi="仿宋_GB2312" w:cs="仿宋_GB2312" w:eastAsia="仿宋_GB2312"/>
        </w:rPr>
        <w:t>6、履约能力承诺：具备履行合同所必需的设备和专业技术能力的证明材料（由供应商根据项目需求提供承诺）；</w:t>
      </w:r>
    </w:p>
    <w:p>
      <w:pPr>
        <w:pStyle w:val="null3"/>
      </w:pPr>
      <w:r>
        <w:rPr>
          <w:rFonts w:ascii="仿宋_GB2312" w:hAnsi="仿宋_GB2312" w:cs="仿宋_GB2312" w:eastAsia="仿宋_GB2312"/>
        </w:rPr>
        <w:t>7、授权委托书：法定代表人授权委托书：法定代表人直接参加开标的，须出具法定代表人身份证明，法定代表人授权代表参加开标的，须出具法定代表人授权书及授权代表社保缴纳证明。</w:t>
      </w:r>
    </w:p>
    <w:p>
      <w:pPr>
        <w:pStyle w:val="null3"/>
      </w:pPr>
      <w:r>
        <w:rPr>
          <w:rFonts w:ascii="仿宋_GB2312" w:hAnsi="仿宋_GB2312" w:cs="仿宋_GB2312" w:eastAsia="仿宋_GB2312"/>
        </w:rPr>
        <w:t>8、信用查询：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1、具有独立承担民事责任的能力：供应商应是独立承担民事责任能力的法人、其他组织或自然人，法人、其他组织须提供合法有效的营业执照或事业单位法人证等证明资料，自然人须提供身份证明</w:t>
      </w:r>
    </w:p>
    <w:p>
      <w:pPr>
        <w:pStyle w:val="null3"/>
      </w:pPr>
      <w:r>
        <w:rPr>
          <w:rFonts w:ascii="仿宋_GB2312" w:hAnsi="仿宋_GB2312" w:cs="仿宋_GB2312" w:eastAsia="仿宋_GB2312"/>
        </w:rPr>
        <w:t>2、财务状况报告：提供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3、税收缴纳证明：提供投标截止前半年内任意一个月的完税证明，依法免税的单位应提供相关证明材料；</w:t>
      </w:r>
    </w:p>
    <w:p>
      <w:pPr>
        <w:pStyle w:val="null3"/>
      </w:pPr>
      <w:r>
        <w:rPr>
          <w:rFonts w:ascii="仿宋_GB2312" w:hAnsi="仿宋_GB2312" w:cs="仿宋_GB2312" w:eastAsia="仿宋_GB2312"/>
        </w:rPr>
        <w:t>4、社会保障资金缴纳证明：提供投标截止前半年内任意一个月的缴纳社会保险凭证，依法不需要缴纳社会保障资金的单位应提供相关证明材料；</w:t>
      </w:r>
    </w:p>
    <w:p>
      <w:pPr>
        <w:pStyle w:val="null3"/>
      </w:pPr>
      <w:r>
        <w:rPr>
          <w:rFonts w:ascii="仿宋_GB2312" w:hAnsi="仿宋_GB2312" w:cs="仿宋_GB2312" w:eastAsia="仿宋_GB2312"/>
        </w:rPr>
        <w:t>5、无重大违法声明：参加政府采购活动前3年内，在经营活动中没有重大违法记录的书面声明；</w:t>
      </w:r>
    </w:p>
    <w:p>
      <w:pPr>
        <w:pStyle w:val="null3"/>
      </w:pPr>
      <w:r>
        <w:rPr>
          <w:rFonts w:ascii="仿宋_GB2312" w:hAnsi="仿宋_GB2312" w:cs="仿宋_GB2312" w:eastAsia="仿宋_GB2312"/>
        </w:rPr>
        <w:t>6、履约能力承诺：具备履行合同所必需的设备和专业技术能力的证明材料（由供应商根据项目需求提供承诺）；</w:t>
      </w:r>
    </w:p>
    <w:p>
      <w:pPr>
        <w:pStyle w:val="null3"/>
      </w:pPr>
      <w:r>
        <w:rPr>
          <w:rFonts w:ascii="仿宋_GB2312" w:hAnsi="仿宋_GB2312" w:cs="仿宋_GB2312" w:eastAsia="仿宋_GB2312"/>
        </w:rPr>
        <w:t>7、授权委托书：法定代表人授权委托书：法定代表人直接参加开标的，须出具法定代表人身份证明，法定代表人授权代表参加开标的，须出具法定代表人授权书及授权代表社保缴纳证明。</w:t>
      </w:r>
    </w:p>
    <w:p>
      <w:pPr>
        <w:pStyle w:val="null3"/>
      </w:pPr>
      <w:r>
        <w:rPr>
          <w:rFonts w:ascii="仿宋_GB2312" w:hAnsi="仿宋_GB2312" w:cs="仿宋_GB2312" w:eastAsia="仿宋_GB2312"/>
        </w:rPr>
        <w:t>8、信用查询：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西安市凤城八路市政府2号楼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13572869358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天煜荣泽工程咨询有限公司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陕西省西安市雁塔区太白南路天地源悦熙广场1幢1单元1606室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15129257819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代理服务费收费标准：参照国家发展改革委关于进一步放开建设项目专业服务价格的通知，发改价格【2015】299号文件记取。中标供应商在领取中标通知书前，须向采购代理机构一次性支付代理服务费。 招标代理服务费账户 户名名称：天煜荣泽工程咨询有限公司西安经开分公司 开户银行：上海浦东发展银行股份有限公司西安文景路支行 账 号：7213 0078 8014 0000 1513 请中标供应商按照要求将招标代理服务费转入以上指定账户，如因自身原因发生错误，产生的不利后果均由供应商自行承担。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西安市科学技术局（本级）</w:t>
      </w:r>
      <w:r>
        <w:rPr>
          <w:rFonts w:ascii="仿宋_GB2312" w:hAnsi="仿宋_GB2312" w:cs="仿宋_GB2312" w:eastAsia="仿宋_GB2312"/>
        </w:rPr>
        <w:t>和</w:t>
      </w:r>
      <w:r>
        <w:rPr>
          <w:rFonts w:ascii="仿宋_GB2312" w:hAnsi="仿宋_GB2312" w:cs="仿宋_GB2312" w:eastAsia="仿宋_GB2312"/>
        </w:rPr>
        <w:t>天煜荣泽工程咨询有限公司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天煜荣泽工程咨询有限公司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天煜荣泽工程咨询有限公司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西安市科学技术局（本级）</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联系人：户工</w:t>
      </w:r>
    </w:p>
    <w:p>
      <w:pPr>
        <w:pStyle w:val="null3"/>
      </w:pPr>
      <w:r>
        <w:rPr>
          <w:rFonts w:ascii="仿宋_GB2312" w:hAnsi="仿宋_GB2312" w:cs="仿宋_GB2312" w:eastAsia="仿宋_GB2312"/>
        </w:rPr>
        <w:t>联系电话：15129257819</w:t>
      </w:r>
    </w:p>
    <w:p>
      <w:pPr>
        <w:pStyle w:val="null3"/>
      </w:pPr>
      <w:r>
        <w:rPr>
          <w:rFonts w:ascii="仿宋_GB2312" w:hAnsi="仿宋_GB2312" w:cs="仿宋_GB2312" w:eastAsia="仿宋_GB2312"/>
        </w:rPr>
        <w:t>地址：陕西省西安市雁塔区太白南路天地源悦熙广场1幢1单元1606室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当前，数字科技迭代升级提速，人工智能已成为驱动新一轮科技革命和产业变革的核心引擎，是各地区抢占未来产业发展制高点的关键抓手。西安依托科教资源富集、产业体系完备、场景资源丰富的优势，正全力建设西部领先的人工智能产业创新发展高地。为深化西安与杭州、成都的产业协同联动，精准对接优质人工智能企业、前沿技术、产业资本与高端人才资源，赋能西安重点产业链数字化、智能化升级，拓宽产业合作通道、搭建供需对接平台，西安市科技局拟在杭州、成都两地各举办1场人工智能产业校友招商暨交流活动。为统筹做好活动全流程筹备工作，确保活动规范、圆满举办，现对本项目进行公开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2026校友招商暨交流活动项目（杭州）</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2026校友招商暨交流活动（成都）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标的名称：2026校友招商暨交流活动项目（杭州）</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96"/>
              <w:gridCol w:w="2252"/>
            </w:tblGrid>
            <w:tr>
              <w:tc>
                <w:tcPr>
                  <w:tcW w:type="dxa" w:w="296"/>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采购</w:t>
                  </w:r>
                </w:p>
                <w:p>
                  <w:pPr>
                    <w:pStyle w:val="null3"/>
                    <w:jc w:val="center"/>
                  </w:pPr>
                  <w:r>
                    <w:rPr>
                      <w:rFonts w:ascii="仿宋_GB2312" w:hAnsi="仿宋_GB2312" w:cs="仿宋_GB2312" w:eastAsia="仿宋_GB2312"/>
                      <w:sz w:val="24"/>
                      <w:b/>
                    </w:rPr>
                    <w:t>内容</w:t>
                  </w:r>
                </w:p>
              </w:tc>
              <w:tc>
                <w:tcPr>
                  <w:tcW w:type="dxa" w:w="2252"/>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2026</w:t>
                  </w:r>
                  <w:r>
                    <w:rPr>
                      <w:rFonts w:ascii="仿宋_GB2312" w:hAnsi="仿宋_GB2312" w:cs="仿宋_GB2312" w:eastAsia="仿宋_GB2312"/>
                      <w:sz w:val="24"/>
                    </w:rPr>
                    <w:t>校友招商暨交流活动项目（</w:t>
                  </w:r>
                  <w:r>
                    <w:rPr>
                      <w:rFonts w:ascii="仿宋_GB2312" w:hAnsi="仿宋_GB2312" w:cs="仿宋_GB2312" w:eastAsia="仿宋_GB2312"/>
                      <w:sz w:val="24"/>
                    </w:rPr>
                    <w:t>杭州</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交流活动全流程执行</w:t>
                  </w:r>
                  <w:r>
                    <w:rPr>
                      <w:rFonts w:ascii="仿宋_GB2312" w:hAnsi="仿宋_GB2312" w:cs="仿宋_GB2312" w:eastAsia="仿宋_GB2312"/>
                      <w:sz w:val="24"/>
                    </w:rPr>
                    <w:t>：围绕西安市人工智能产业发展成果开展</w:t>
                  </w:r>
                  <w:r>
                    <w:rPr>
                      <w:rFonts w:ascii="仿宋_GB2312" w:hAnsi="仿宋_GB2312" w:cs="仿宋_GB2312" w:eastAsia="仿宋_GB2312"/>
                      <w:sz w:val="24"/>
                    </w:rPr>
                    <w:t>推介和交流</w:t>
                  </w:r>
                  <w:r>
                    <w:rPr>
                      <w:rFonts w:ascii="仿宋_GB2312" w:hAnsi="仿宋_GB2312" w:cs="仿宋_GB2312" w:eastAsia="仿宋_GB2312"/>
                      <w:sz w:val="24"/>
                    </w:rPr>
                    <w:t>，吸引优质企业投资落地，促进产业交流合作。负责活动整体策划、方案</w:t>
                  </w:r>
                  <w:r>
                    <w:rPr>
                      <w:rFonts w:ascii="仿宋_GB2312" w:hAnsi="仿宋_GB2312" w:cs="仿宋_GB2312" w:eastAsia="仿宋_GB2312"/>
                      <w:sz w:val="24"/>
                    </w:rPr>
                    <w:t>制定</w:t>
                  </w:r>
                  <w:r>
                    <w:rPr>
                      <w:rFonts w:ascii="仿宋_GB2312" w:hAnsi="仿宋_GB2312" w:cs="仿宋_GB2312" w:eastAsia="仿宋_GB2312"/>
                      <w:sz w:val="24"/>
                    </w:rPr>
                    <w:t>、流程编排、现场执行全流程工作，包含活动场地租赁、方案设计搭建、相关设备材料采购供应、安装调试及撤场等全部内容。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参会人员组织：</w:t>
                  </w:r>
                  <w:r>
                    <w:rPr>
                      <w:rFonts w:ascii="仿宋_GB2312" w:hAnsi="仿宋_GB2312" w:cs="仿宋_GB2312" w:eastAsia="仿宋_GB2312"/>
                      <w:sz w:val="24"/>
                    </w:rPr>
                    <w:t>组织</w:t>
                  </w:r>
                  <w:r>
                    <w:rPr>
                      <w:rFonts w:ascii="仿宋_GB2312" w:hAnsi="仿宋_GB2312" w:cs="仿宋_GB2312" w:eastAsia="仿宋_GB2312"/>
                      <w:sz w:val="24"/>
                    </w:rPr>
                    <w:t>西安市区县、开发区、相关市级部门和重点企业，专家、校友等行业重要嘉宾，杭州市</w:t>
                  </w:r>
                  <w:r>
                    <w:rPr>
                      <w:rFonts w:ascii="仿宋_GB2312" w:hAnsi="仿宋_GB2312" w:cs="仿宋_GB2312" w:eastAsia="仿宋_GB2312"/>
                      <w:sz w:val="24"/>
                    </w:rPr>
                    <w:t>相关行业协会、头部企业、高校及金融投资机构代表参加活动，提供会场全流程服务，确保单场参会人数不少于</w:t>
                  </w:r>
                  <w:r>
                    <w:rPr>
                      <w:rFonts w:ascii="仿宋_GB2312" w:hAnsi="仿宋_GB2312" w:cs="仿宋_GB2312" w:eastAsia="仿宋_GB2312"/>
                      <w:sz w:val="24"/>
                    </w:rPr>
                    <w:t>120</w:t>
                  </w:r>
                  <w:r>
                    <w:rPr>
                      <w:rFonts w:ascii="仿宋_GB2312" w:hAnsi="仿宋_GB2312" w:cs="仿宋_GB2312" w:eastAsia="仿宋_GB2312"/>
                      <w:sz w:val="24"/>
                    </w:rPr>
                    <w:t>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）产业</w:t>
                  </w:r>
                  <w:r>
                    <w:rPr>
                      <w:rFonts w:ascii="仿宋_GB2312" w:hAnsi="仿宋_GB2312" w:cs="仿宋_GB2312" w:eastAsia="仿宋_GB2312"/>
                      <w:sz w:val="24"/>
                    </w:rPr>
                    <w:t>调研</w:t>
                  </w:r>
                  <w:r>
                    <w:rPr>
                      <w:rFonts w:ascii="仿宋_GB2312" w:hAnsi="仿宋_GB2312" w:cs="仿宋_GB2312" w:eastAsia="仿宋_GB2312"/>
                      <w:sz w:val="24"/>
                    </w:rPr>
                    <w:t>活动组织：组织参会嘉宾参观杭州人工智能产业园区、龙头企业、重点项目等能体现杭州人工智能产业特色的点位，考察场次不少于</w:t>
                  </w:r>
                  <w:r>
                    <w:rPr>
                      <w:rFonts w:ascii="仿宋_GB2312" w:hAnsi="仿宋_GB2312" w:cs="仿宋_GB2312" w:eastAsia="仿宋_GB2312"/>
                      <w:sz w:val="24"/>
                    </w:rPr>
                    <w:t>2</w:t>
                  </w:r>
                  <w:r>
                    <w:rPr>
                      <w:rFonts w:ascii="仿宋_GB2312" w:hAnsi="仿宋_GB2312" w:cs="仿宋_GB2312" w:eastAsia="仿宋_GB2312"/>
                      <w:sz w:val="24"/>
                    </w:rPr>
                    <w:t>场。</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96"/>
              <w:gridCol w:w="2252"/>
            </w:tblGrid>
            <w:tr>
              <w:tc>
                <w:tcPr>
                  <w:tcW w:type="dxa" w:w="296"/>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商务</w:t>
                  </w:r>
                </w:p>
                <w:p>
                  <w:pPr>
                    <w:pStyle w:val="null3"/>
                    <w:jc w:val="center"/>
                  </w:pPr>
                  <w:r>
                    <w:rPr>
                      <w:rFonts w:ascii="仿宋_GB2312" w:hAnsi="仿宋_GB2312" w:cs="仿宋_GB2312" w:eastAsia="仿宋_GB2312"/>
                      <w:sz w:val="24"/>
                      <w:b/>
                    </w:rPr>
                    <w:t>要求</w:t>
                  </w:r>
                </w:p>
              </w:tc>
              <w:tc>
                <w:tcPr>
                  <w:tcW w:type="dxa" w:w="2252"/>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）服务期限</w:t>
                  </w:r>
                </w:p>
                <w:p>
                  <w:pPr>
                    <w:pStyle w:val="null3"/>
                    <w:jc w:val="left"/>
                  </w:pPr>
                  <w:r>
                    <w:rPr>
                      <w:rFonts w:ascii="仿宋_GB2312" w:hAnsi="仿宋_GB2312" w:cs="仿宋_GB2312" w:eastAsia="仿宋_GB2312"/>
                      <w:sz w:val="24"/>
                    </w:rPr>
                    <w:t>自合同签订之日起</w:t>
                  </w:r>
                  <w:r>
                    <w:rPr>
                      <w:rFonts w:ascii="仿宋_GB2312" w:hAnsi="仿宋_GB2312" w:cs="仿宋_GB2312" w:eastAsia="仿宋_GB2312"/>
                      <w:sz w:val="24"/>
                    </w:rPr>
                    <w:t>项目结束</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）款项结算</w:t>
                  </w:r>
                </w:p>
                <w:p>
                  <w:pPr>
                    <w:pStyle w:val="null3"/>
                    <w:jc w:val="left"/>
                  </w:pPr>
                  <w:r>
                    <w:rPr>
                      <w:rFonts w:ascii="仿宋_GB2312" w:hAnsi="仿宋_GB2312" w:cs="仿宋_GB2312" w:eastAsia="仿宋_GB2312"/>
                      <w:sz w:val="24"/>
                    </w:rPr>
                    <w:t>合同正式生效后</w:t>
                  </w:r>
                  <w:r>
                    <w:rPr>
                      <w:rFonts w:ascii="仿宋_GB2312" w:hAnsi="仿宋_GB2312" w:cs="仿宋_GB2312" w:eastAsia="仿宋_GB2312"/>
                      <w:sz w:val="24"/>
                    </w:rPr>
                    <w:t>7</w:t>
                  </w:r>
                  <w:r>
                    <w:rPr>
                      <w:rFonts w:ascii="仿宋_GB2312" w:hAnsi="仿宋_GB2312" w:cs="仿宋_GB2312" w:eastAsia="仿宋_GB2312"/>
                      <w:sz w:val="24"/>
                    </w:rPr>
                    <w:t>个工作日</w:t>
                  </w:r>
                  <w:r>
                    <w:rPr>
                      <w:rFonts w:ascii="仿宋_GB2312" w:hAnsi="仿宋_GB2312" w:cs="仿宋_GB2312" w:eastAsia="仿宋_GB2312"/>
                      <w:sz w:val="24"/>
                    </w:rPr>
                    <w:t>内</w:t>
                  </w:r>
                  <w:r>
                    <w:rPr>
                      <w:rFonts w:ascii="仿宋_GB2312" w:hAnsi="仿宋_GB2312" w:cs="仿宋_GB2312" w:eastAsia="仿宋_GB2312"/>
                      <w:sz w:val="24"/>
                    </w:rPr>
                    <w:t>，</w:t>
                  </w:r>
                  <w:r>
                    <w:rPr>
                      <w:rFonts w:ascii="仿宋_GB2312" w:hAnsi="仿宋_GB2312" w:cs="仿宋_GB2312" w:eastAsia="仿宋_GB2312"/>
                      <w:sz w:val="24"/>
                    </w:rPr>
                    <w:t>支付合同总价的</w:t>
                  </w:r>
                  <w:r>
                    <w:rPr>
                      <w:rFonts w:ascii="仿宋_GB2312" w:hAnsi="仿宋_GB2312" w:cs="仿宋_GB2312" w:eastAsia="仿宋_GB2312"/>
                      <w:sz w:val="24"/>
                    </w:rPr>
                    <w:t>70</w:t>
                  </w:r>
                  <w:r>
                    <w:rPr>
                      <w:rFonts w:ascii="仿宋_GB2312" w:hAnsi="仿宋_GB2312" w:cs="仿宋_GB2312" w:eastAsia="仿宋_GB2312"/>
                      <w:sz w:val="24"/>
                    </w:rPr>
                    <w:t>％；验收通过后</w:t>
                  </w:r>
                  <w:r>
                    <w:rPr>
                      <w:rFonts w:ascii="仿宋_GB2312" w:hAnsi="仿宋_GB2312" w:cs="仿宋_GB2312" w:eastAsia="仿宋_GB2312"/>
                      <w:sz w:val="24"/>
                    </w:rPr>
                    <w:t>30</w:t>
                  </w:r>
                  <w:r>
                    <w:rPr>
                      <w:rFonts w:ascii="仿宋_GB2312" w:hAnsi="仿宋_GB2312" w:cs="仿宋_GB2312" w:eastAsia="仿宋_GB2312"/>
                      <w:sz w:val="24"/>
                    </w:rPr>
                    <w:t>个工作日</w:t>
                  </w:r>
                  <w:r>
                    <w:rPr>
                      <w:rFonts w:ascii="仿宋_GB2312" w:hAnsi="仿宋_GB2312" w:cs="仿宋_GB2312" w:eastAsia="仿宋_GB2312"/>
                      <w:sz w:val="24"/>
                    </w:rPr>
                    <w:t>内</w:t>
                  </w:r>
                  <w:r>
                    <w:rPr>
                      <w:rFonts w:ascii="仿宋_GB2312" w:hAnsi="仿宋_GB2312" w:cs="仿宋_GB2312" w:eastAsia="仿宋_GB2312"/>
                      <w:sz w:val="24"/>
                    </w:rPr>
                    <w:t>，</w:t>
                  </w:r>
                  <w:r>
                    <w:rPr>
                      <w:rFonts w:ascii="仿宋_GB2312" w:hAnsi="仿宋_GB2312" w:cs="仿宋_GB2312" w:eastAsia="仿宋_GB2312"/>
                      <w:sz w:val="24"/>
                    </w:rPr>
                    <w:t>支付合同剩余总价的</w:t>
                  </w:r>
                  <w:r>
                    <w:rPr>
                      <w:rFonts w:ascii="仿宋_GB2312" w:hAnsi="仿宋_GB2312" w:cs="仿宋_GB2312" w:eastAsia="仿宋_GB2312"/>
                      <w:sz w:val="24"/>
                    </w:rPr>
                    <w:t>30</w:t>
                  </w:r>
                  <w:r>
                    <w:rPr>
                      <w:rFonts w:ascii="仿宋_GB2312" w:hAnsi="仿宋_GB2312" w:cs="仿宋_GB2312" w:eastAsia="仿宋_GB2312"/>
                      <w:sz w:val="24"/>
                    </w:rPr>
                    <w:t>％。</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96"/>
              <w:gridCol w:w="2252"/>
            </w:tblGrid>
            <w:tr>
              <w:tc>
                <w:tcPr>
                  <w:tcW w:type="dxa" w:w="296"/>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保密</w:t>
                  </w:r>
                </w:p>
                <w:p>
                  <w:pPr>
                    <w:pStyle w:val="null3"/>
                    <w:jc w:val="center"/>
                  </w:pPr>
                  <w:r>
                    <w:rPr>
                      <w:rFonts w:ascii="仿宋_GB2312" w:hAnsi="仿宋_GB2312" w:cs="仿宋_GB2312" w:eastAsia="仿宋_GB2312"/>
                      <w:sz w:val="24"/>
                      <w:b/>
                    </w:rPr>
                    <w:t>要求</w:t>
                  </w:r>
                </w:p>
              </w:tc>
              <w:tc>
                <w:tcPr>
                  <w:tcW w:type="dxa" w:w="2252"/>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成交供应商在项目实施过程中，对采购人所提供的所有相关资料、数据，未经采购人书面同意不得向任何第三人泄露，且保密责任不因合同的终止或解除而失效。如果采购人提出要求，成交供应商须无条件与采购人签订保密协议。项目完成后，成交供应商须把采购人提供的所有资料、数据完整归还采购人，并不得留存任何复制品。</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96"/>
              <w:gridCol w:w="2252"/>
            </w:tblGrid>
            <w:tr>
              <w:tc>
                <w:tcPr>
                  <w:tcW w:type="dxa" w:w="296"/>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成果</w:t>
                  </w:r>
                </w:p>
                <w:p>
                  <w:pPr>
                    <w:pStyle w:val="null3"/>
                    <w:jc w:val="center"/>
                  </w:pPr>
                  <w:r>
                    <w:rPr>
                      <w:rFonts w:ascii="仿宋_GB2312" w:hAnsi="仿宋_GB2312" w:cs="仿宋_GB2312" w:eastAsia="仿宋_GB2312"/>
                      <w:sz w:val="24"/>
                      <w:b/>
                    </w:rPr>
                    <w:t>要求</w:t>
                  </w:r>
                </w:p>
              </w:tc>
              <w:tc>
                <w:tcPr>
                  <w:tcW w:type="dxa" w:w="2252"/>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）成果提交地点为项目执行地及采购人指定地点；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）严格按照项目计划及采购人要求，按时完成招商</w:t>
                  </w:r>
                  <w:r>
                    <w:rPr>
                      <w:rFonts w:ascii="仿宋_GB2312" w:hAnsi="仿宋_GB2312" w:cs="仿宋_GB2312" w:eastAsia="仿宋_GB2312"/>
                      <w:sz w:val="24"/>
                    </w:rPr>
                    <w:t>交流</w:t>
                  </w:r>
                  <w:r>
                    <w:rPr>
                      <w:rFonts w:ascii="仿宋_GB2312" w:hAnsi="仿宋_GB2312" w:cs="仿宋_GB2312" w:eastAsia="仿宋_GB2312"/>
                      <w:sz w:val="24"/>
                    </w:rPr>
                    <w:t>、产业</w:t>
                  </w:r>
                  <w:r>
                    <w:rPr>
                      <w:rFonts w:ascii="仿宋_GB2312" w:hAnsi="仿宋_GB2312" w:cs="仿宋_GB2312" w:eastAsia="仿宋_GB2312"/>
                      <w:sz w:val="24"/>
                    </w:rPr>
                    <w:t>调研</w:t>
                  </w:r>
                  <w:r>
                    <w:rPr>
                      <w:rFonts w:ascii="仿宋_GB2312" w:hAnsi="仿宋_GB2312" w:cs="仿宋_GB2312" w:eastAsia="仿宋_GB2312"/>
                      <w:sz w:val="24"/>
                    </w:rPr>
                    <w:t>等全部活动内容，提交完整的活动执行报告、影像资料、成果汇总</w:t>
                  </w:r>
                  <w:r>
                    <w:rPr>
                      <w:rFonts w:ascii="仿宋_GB2312" w:hAnsi="仿宋_GB2312" w:cs="仿宋_GB2312" w:eastAsia="仿宋_GB2312"/>
                      <w:sz w:val="24"/>
                    </w:rPr>
                    <w:t>等</w:t>
                  </w:r>
                  <w:r>
                    <w:rPr>
                      <w:rFonts w:ascii="仿宋_GB2312" w:hAnsi="仿宋_GB2312" w:cs="仿宋_GB2312" w:eastAsia="仿宋_GB2312"/>
                      <w:sz w:val="24"/>
                    </w:rPr>
                    <w:t>材料。</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96"/>
              <w:gridCol w:w="2252"/>
            </w:tblGrid>
            <w:tr>
              <w:tc>
                <w:tcPr>
                  <w:tcW w:type="dxa" w:w="296"/>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验收</w:t>
                  </w:r>
                </w:p>
                <w:p>
                  <w:pPr>
                    <w:pStyle w:val="null3"/>
                    <w:jc w:val="center"/>
                  </w:pPr>
                  <w:r>
                    <w:rPr>
                      <w:rFonts w:ascii="仿宋_GB2312" w:hAnsi="仿宋_GB2312" w:cs="仿宋_GB2312" w:eastAsia="仿宋_GB2312"/>
                      <w:sz w:val="24"/>
                      <w:b/>
                    </w:rPr>
                    <w:t>要求</w:t>
                  </w:r>
                </w:p>
              </w:tc>
              <w:tc>
                <w:tcPr>
                  <w:tcW w:type="dxa" w:w="2252"/>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）服务期满，甲方对</w:t>
                  </w:r>
                  <w:r>
                    <w:rPr>
                      <w:rFonts w:ascii="仿宋_GB2312" w:hAnsi="仿宋_GB2312" w:cs="仿宋_GB2312" w:eastAsia="仿宋_GB2312"/>
                      <w:sz w:val="24"/>
                    </w:rPr>
                    <w:t>全部</w:t>
                  </w:r>
                  <w:r>
                    <w:rPr>
                      <w:rFonts w:ascii="仿宋_GB2312" w:hAnsi="仿宋_GB2312" w:cs="仿宋_GB2312" w:eastAsia="仿宋_GB2312"/>
                      <w:sz w:val="24"/>
                    </w:rPr>
                    <w:t>服务成果通过审核后，向乙方出具服务验收单</w:t>
                  </w:r>
                  <w:r>
                    <w:rPr>
                      <w:rFonts w:ascii="仿宋_GB2312" w:hAnsi="仿宋_GB2312" w:cs="仿宋_GB2312" w:eastAsia="仿宋_GB2312"/>
                      <w:sz w:val="24"/>
                    </w:rPr>
                    <w:t>，</w:t>
                  </w:r>
                  <w:r>
                    <w:rPr>
                      <w:rFonts w:ascii="仿宋_GB2312" w:hAnsi="仿宋_GB2312" w:cs="仿宋_GB2312" w:eastAsia="仿宋_GB2312"/>
                      <w:sz w:val="24"/>
                    </w:rPr>
                    <w:t>作为对乙方合同履约情况的最终认可。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）验收依据</w:t>
                  </w:r>
                  <w:r>
                    <w:rPr>
                      <w:rFonts w:ascii="仿宋_GB2312" w:hAnsi="仿宋_GB2312" w:cs="仿宋_GB2312" w:eastAsia="仿宋_GB2312"/>
                      <w:sz w:val="24"/>
                    </w:rPr>
                    <w:t>：</w:t>
                  </w:r>
                  <w:r>
                    <w:rPr>
                      <w:rFonts w:ascii="仿宋_GB2312" w:hAnsi="仿宋_GB2312" w:cs="仿宋_GB2312" w:eastAsia="仿宋_GB2312"/>
                      <w:sz w:val="24"/>
                    </w:rPr>
                    <w:t>合同文本、</w:t>
                  </w:r>
                  <w:r>
                    <w:rPr>
                      <w:rFonts w:ascii="仿宋_GB2312" w:hAnsi="仿宋_GB2312" w:cs="仿宋_GB2312" w:eastAsia="仿宋_GB2312"/>
                      <w:sz w:val="24"/>
                    </w:rPr>
                    <w:t>磋商</w:t>
                  </w:r>
                  <w:r>
                    <w:rPr>
                      <w:rFonts w:ascii="仿宋_GB2312" w:hAnsi="仿宋_GB2312" w:cs="仿宋_GB2312" w:eastAsia="仿宋_GB2312"/>
                      <w:sz w:val="24"/>
                    </w:rPr>
                    <w:t>文件、</w:t>
                  </w:r>
                  <w:r>
                    <w:rPr>
                      <w:rFonts w:ascii="仿宋_GB2312" w:hAnsi="仿宋_GB2312" w:cs="仿宋_GB2312" w:eastAsia="仿宋_GB2312"/>
                      <w:sz w:val="24"/>
                    </w:rPr>
                    <w:t>响应</w:t>
                  </w:r>
                  <w:r>
                    <w:rPr>
                      <w:rFonts w:ascii="仿宋_GB2312" w:hAnsi="仿宋_GB2312" w:cs="仿宋_GB2312" w:eastAsia="仿宋_GB2312"/>
                      <w:sz w:val="24"/>
                    </w:rPr>
                    <w:t>文件。</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标的名称：2026校友招商暨交流活动（成都）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96"/>
              <w:gridCol w:w="2252"/>
            </w:tblGrid>
            <w:tr>
              <w:tc>
                <w:tcPr>
                  <w:tcW w:type="dxa" w:w="296"/>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采购</w:t>
                  </w:r>
                </w:p>
                <w:p>
                  <w:pPr>
                    <w:pStyle w:val="null3"/>
                    <w:jc w:val="center"/>
                  </w:pPr>
                  <w:r>
                    <w:rPr>
                      <w:rFonts w:ascii="仿宋_GB2312" w:hAnsi="仿宋_GB2312" w:cs="仿宋_GB2312" w:eastAsia="仿宋_GB2312"/>
                      <w:sz w:val="24"/>
                      <w:b/>
                    </w:rPr>
                    <w:t>内容</w:t>
                  </w:r>
                </w:p>
              </w:tc>
              <w:tc>
                <w:tcPr>
                  <w:tcW w:type="dxa" w:w="2252"/>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2026</w:t>
                  </w:r>
                  <w:r>
                    <w:rPr>
                      <w:rFonts w:ascii="仿宋_GB2312" w:hAnsi="仿宋_GB2312" w:cs="仿宋_GB2312" w:eastAsia="仿宋_GB2312"/>
                      <w:sz w:val="24"/>
                    </w:rPr>
                    <w:t>校友招商暨交流活动（成都）</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交流活动全流程执行：围绕西安市人工智能产业发展成果开展推介和交流，吸引优质企业投资落地，促进产业交流合作。负责活动整体策划、方案制定、流程编排、现场执行全流程工作，包含活动场地租赁、方案设计搭建、相关设备材料采购供应、安装调试及撤场等全部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）参会人员组织：组织西安市区县、开发区、相关市级部门和重点企业，专家、校友等行业重要嘉宾</w:t>
                  </w:r>
                  <w:r>
                    <w:rPr>
                      <w:rFonts w:ascii="仿宋_GB2312" w:hAnsi="仿宋_GB2312" w:cs="仿宋_GB2312" w:eastAsia="仿宋_GB2312"/>
                      <w:sz w:val="24"/>
                    </w:rPr>
                    <w:t>，成都</w:t>
                  </w:r>
                  <w:r>
                    <w:rPr>
                      <w:rFonts w:ascii="仿宋_GB2312" w:hAnsi="仿宋_GB2312" w:cs="仿宋_GB2312" w:eastAsia="仿宋_GB2312"/>
                      <w:sz w:val="24"/>
                    </w:rPr>
                    <w:t>市相关行业协会、头部企业、高校及金融投资机构代表参加活动，提供会场全流程服务，确保单场参会人数不少于</w:t>
                  </w:r>
                  <w:r>
                    <w:rPr>
                      <w:rFonts w:ascii="仿宋_GB2312" w:hAnsi="仿宋_GB2312" w:cs="仿宋_GB2312" w:eastAsia="仿宋_GB2312"/>
                      <w:sz w:val="24"/>
                    </w:rPr>
                    <w:t>120</w:t>
                  </w:r>
                  <w:r>
                    <w:rPr>
                      <w:rFonts w:ascii="仿宋_GB2312" w:hAnsi="仿宋_GB2312" w:cs="仿宋_GB2312" w:eastAsia="仿宋_GB2312"/>
                      <w:sz w:val="24"/>
                    </w:rPr>
                    <w:t>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）产业调研活动组织：组织参会嘉宾参观</w:t>
                  </w:r>
                  <w:r>
                    <w:rPr>
                      <w:rFonts w:ascii="仿宋_GB2312" w:hAnsi="仿宋_GB2312" w:cs="仿宋_GB2312" w:eastAsia="仿宋_GB2312"/>
                      <w:sz w:val="24"/>
                    </w:rPr>
                    <w:t>成都</w:t>
                  </w:r>
                  <w:r>
                    <w:rPr>
                      <w:rFonts w:ascii="仿宋_GB2312" w:hAnsi="仿宋_GB2312" w:cs="仿宋_GB2312" w:eastAsia="仿宋_GB2312"/>
                      <w:sz w:val="24"/>
                    </w:rPr>
                    <w:t>人工智能产业园区、龙头企业、重点项目等能体现</w:t>
                  </w:r>
                  <w:r>
                    <w:rPr>
                      <w:rFonts w:ascii="仿宋_GB2312" w:hAnsi="仿宋_GB2312" w:cs="仿宋_GB2312" w:eastAsia="仿宋_GB2312"/>
                      <w:sz w:val="24"/>
                    </w:rPr>
                    <w:t>成都</w:t>
                  </w:r>
                  <w:r>
                    <w:rPr>
                      <w:rFonts w:ascii="仿宋_GB2312" w:hAnsi="仿宋_GB2312" w:cs="仿宋_GB2312" w:eastAsia="仿宋_GB2312"/>
                      <w:sz w:val="24"/>
                    </w:rPr>
                    <w:t>人工智能产业特色的点位，考察场次不少于</w:t>
                  </w:r>
                  <w:r>
                    <w:rPr>
                      <w:rFonts w:ascii="仿宋_GB2312" w:hAnsi="仿宋_GB2312" w:cs="仿宋_GB2312" w:eastAsia="仿宋_GB2312"/>
                      <w:sz w:val="24"/>
                    </w:rPr>
                    <w:t>2</w:t>
                  </w:r>
                  <w:r>
                    <w:rPr>
                      <w:rFonts w:ascii="仿宋_GB2312" w:hAnsi="仿宋_GB2312" w:cs="仿宋_GB2312" w:eastAsia="仿宋_GB2312"/>
                      <w:sz w:val="24"/>
                    </w:rPr>
                    <w:t>场。</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96"/>
              <w:gridCol w:w="2252"/>
            </w:tblGrid>
            <w:tr>
              <w:tc>
                <w:tcPr>
                  <w:tcW w:type="dxa" w:w="296"/>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商务</w:t>
                  </w:r>
                </w:p>
                <w:p>
                  <w:pPr>
                    <w:pStyle w:val="null3"/>
                    <w:jc w:val="center"/>
                  </w:pPr>
                  <w:r>
                    <w:rPr>
                      <w:rFonts w:ascii="仿宋_GB2312" w:hAnsi="仿宋_GB2312" w:cs="仿宋_GB2312" w:eastAsia="仿宋_GB2312"/>
                      <w:sz w:val="24"/>
                      <w:b/>
                    </w:rPr>
                    <w:t>要求</w:t>
                  </w:r>
                </w:p>
              </w:tc>
              <w:tc>
                <w:tcPr>
                  <w:tcW w:type="dxa" w:w="2252"/>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）服务期限</w:t>
                  </w:r>
                </w:p>
                <w:p>
                  <w:pPr>
                    <w:pStyle w:val="null3"/>
                    <w:jc w:val="left"/>
                  </w:pPr>
                  <w:r>
                    <w:rPr>
                      <w:rFonts w:ascii="仿宋_GB2312" w:hAnsi="仿宋_GB2312" w:cs="仿宋_GB2312" w:eastAsia="仿宋_GB2312"/>
                      <w:sz w:val="24"/>
                    </w:rPr>
                    <w:t>自合同签订之日起</w:t>
                  </w:r>
                  <w:r>
                    <w:rPr>
                      <w:rFonts w:ascii="仿宋_GB2312" w:hAnsi="仿宋_GB2312" w:cs="仿宋_GB2312" w:eastAsia="仿宋_GB2312"/>
                      <w:sz w:val="24"/>
                    </w:rPr>
                    <w:t>项目结束</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）款项结算</w:t>
                  </w:r>
                </w:p>
                <w:p>
                  <w:pPr>
                    <w:pStyle w:val="null3"/>
                    <w:jc w:val="left"/>
                  </w:pPr>
                  <w:r>
                    <w:rPr>
                      <w:rFonts w:ascii="仿宋_GB2312" w:hAnsi="仿宋_GB2312" w:cs="仿宋_GB2312" w:eastAsia="仿宋_GB2312"/>
                      <w:sz w:val="24"/>
                    </w:rPr>
                    <w:t>合同正式生效后</w:t>
                  </w:r>
                  <w:r>
                    <w:rPr>
                      <w:rFonts w:ascii="仿宋_GB2312" w:hAnsi="仿宋_GB2312" w:cs="仿宋_GB2312" w:eastAsia="仿宋_GB2312"/>
                      <w:sz w:val="24"/>
                    </w:rPr>
                    <w:t>7</w:t>
                  </w:r>
                  <w:r>
                    <w:rPr>
                      <w:rFonts w:ascii="仿宋_GB2312" w:hAnsi="仿宋_GB2312" w:cs="仿宋_GB2312" w:eastAsia="仿宋_GB2312"/>
                      <w:sz w:val="24"/>
                    </w:rPr>
                    <w:t>个工作日内，支付合同总价的</w:t>
                  </w:r>
                  <w:r>
                    <w:rPr>
                      <w:rFonts w:ascii="仿宋_GB2312" w:hAnsi="仿宋_GB2312" w:cs="仿宋_GB2312" w:eastAsia="仿宋_GB2312"/>
                      <w:sz w:val="24"/>
                    </w:rPr>
                    <w:t>70</w:t>
                  </w:r>
                  <w:r>
                    <w:rPr>
                      <w:rFonts w:ascii="仿宋_GB2312" w:hAnsi="仿宋_GB2312" w:cs="仿宋_GB2312" w:eastAsia="仿宋_GB2312"/>
                      <w:sz w:val="24"/>
                    </w:rPr>
                    <w:t>％；验收通过后</w:t>
                  </w:r>
                  <w:r>
                    <w:rPr>
                      <w:rFonts w:ascii="仿宋_GB2312" w:hAnsi="仿宋_GB2312" w:cs="仿宋_GB2312" w:eastAsia="仿宋_GB2312"/>
                      <w:sz w:val="24"/>
                    </w:rPr>
                    <w:t>30</w:t>
                  </w:r>
                  <w:r>
                    <w:rPr>
                      <w:rFonts w:ascii="仿宋_GB2312" w:hAnsi="仿宋_GB2312" w:cs="仿宋_GB2312" w:eastAsia="仿宋_GB2312"/>
                      <w:sz w:val="24"/>
                    </w:rPr>
                    <w:t>个工作日内，支付合同剩余总价的</w:t>
                  </w:r>
                  <w:r>
                    <w:rPr>
                      <w:rFonts w:ascii="仿宋_GB2312" w:hAnsi="仿宋_GB2312" w:cs="仿宋_GB2312" w:eastAsia="仿宋_GB2312"/>
                      <w:sz w:val="24"/>
                    </w:rPr>
                    <w:t>30</w:t>
                  </w:r>
                  <w:r>
                    <w:rPr>
                      <w:rFonts w:ascii="仿宋_GB2312" w:hAnsi="仿宋_GB2312" w:cs="仿宋_GB2312" w:eastAsia="仿宋_GB2312"/>
                      <w:sz w:val="24"/>
                    </w:rPr>
                    <w:t>％。</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96"/>
              <w:gridCol w:w="2252"/>
            </w:tblGrid>
            <w:tr>
              <w:tc>
                <w:tcPr>
                  <w:tcW w:type="dxa" w:w="296"/>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保密</w:t>
                  </w:r>
                </w:p>
                <w:p>
                  <w:pPr>
                    <w:pStyle w:val="null3"/>
                    <w:jc w:val="center"/>
                  </w:pPr>
                  <w:r>
                    <w:rPr>
                      <w:rFonts w:ascii="仿宋_GB2312" w:hAnsi="仿宋_GB2312" w:cs="仿宋_GB2312" w:eastAsia="仿宋_GB2312"/>
                      <w:sz w:val="24"/>
                      <w:b/>
                    </w:rPr>
                    <w:t>要求</w:t>
                  </w:r>
                </w:p>
              </w:tc>
              <w:tc>
                <w:tcPr>
                  <w:tcW w:type="dxa" w:w="2252"/>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成交供应商在项目实施过程中，对采购人所提供的所有相关资料、数据，未经采购人书面同意不得向任何第三人泄露，且保密责任不因合同的终止或解除而失效。如果采购人提出要求，成交供应商须无条件与采购人签订保密协议。项目完成后，成交供应商须把采购人提供的所有资料、数据完整归还采购人，并不得留存任何复制品。</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96"/>
              <w:gridCol w:w="2252"/>
            </w:tblGrid>
            <w:tr>
              <w:tc>
                <w:tcPr>
                  <w:tcW w:type="dxa" w:w="296"/>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成果</w:t>
                  </w:r>
                </w:p>
                <w:p>
                  <w:pPr>
                    <w:pStyle w:val="null3"/>
                    <w:jc w:val="center"/>
                  </w:pPr>
                  <w:r>
                    <w:rPr>
                      <w:rFonts w:ascii="仿宋_GB2312" w:hAnsi="仿宋_GB2312" w:cs="仿宋_GB2312" w:eastAsia="仿宋_GB2312"/>
                      <w:sz w:val="24"/>
                      <w:b/>
                    </w:rPr>
                    <w:t>要求</w:t>
                  </w:r>
                </w:p>
              </w:tc>
              <w:tc>
                <w:tcPr>
                  <w:tcW w:type="dxa" w:w="2252"/>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）成果提交地点为项目执行地及采购人指定地点；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）严格按照项目计划及采购人要求，按时完成招商</w:t>
                  </w:r>
                  <w:r>
                    <w:rPr>
                      <w:rFonts w:ascii="仿宋_GB2312" w:hAnsi="仿宋_GB2312" w:cs="仿宋_GB2312" w:eastAsia="仿宋_GB2312"/>
                      <w:sz w:val="24"/>
                    </w:rPr>
                    <w:t>交流</w:t>
                  </w:r>
                  <w:r>
                    <w:rPr>
                      <w:rFonts w:ascii="仿宋_GB2312" w:hAnsi="仿宋_GB2312" w:cs="仿宋_GB2312" w:eastAsia="仿宋_GB2312"/>
                      <w:sz w:val="24"/>
                    </w:rPr>
                    <w:t>、产业</w:t>
                  </w:r>
                  <w:r>
                    <w:rPr>
                      <w:rFonts w:ascii="仿宋_GB2312" w:hAnsi="仿宋_GB2312" w:cs="仿宋_GB2312" w:eastAsia="仿宋_GB2312"/>
                      <w:sz w:val="24"/>
                    </w:rPr>
                    <w:t>调研</w:t>
                  </w:r>
                  <w:r>
                    <w:rPr>
                      <w:rFonts w:ascii="仿宋_GB2312" w:hAnsi="仿宋_GB2312" w:cs="仿宋_GB2312" w:eastAsia="仿宋_GB2312"/>
                      <w:sz w:val="24"/>
                    </w:rPr>
                    <w:t>等全部活动内容，提交完整的活动执行报告、影像资料、成果汇总</w:t>
                  </w:r>
                  <w:r>
                    <w:rPr>
                      <w:rFonts w:ascii="仿宋_GB2312" w:hAnsi="仿宋_GB2312" w:cs="仿宋_GB2312" w:eastAsia="仿宋_GB2312"/>
                      <w:sz w:val="24"/>
                    </w:rPr>
                    <w:t>等</w:t>
                  </w:r>
                  <w:r>
                    <w:rPr>
                      <w:rFonts w:ascii="仿宋_GB2312" w:hAnsi="仿宋_GB2312" w:cs="仿宋_GB2312" w:eastAsia="仿宋_GB2312"/>
                      <w:sz w:val="24"/>
                    </w:rPr>
                    <w:t>材料。</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96"/>
              <w:gridCol w:w="2252"/>
            </w:tblGrid>
            <w:tr>
              <w:tc>
                <w:tcPr>
                  <w:tcW w:type="dxa" w:w="296"/>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验收</w:t>
                  </w:r>
                </w:p>
                <w:p>
                  <w:pPr>
                    <w:pStyle w:val="null3"/>
                    <w:jc w:val="center"/>
                  </w:pPr>
                  <w:r>
                    <w:rPr>
                      <w:rFonts w:ascii="仿宋_GB2312" w:hAnsi="仿宋_GB2312" w:cs="仿宋_GB2312" w:eastAsia="仿宋_GB2312"/>
                      <w:sz w:val="24"/>
                      <w:b/>
                    </w:rPr>
                    <w:t>要求</w:t>
                  </w:r>
                </w:p>
              </w:tc>
              <w:tc>
                <w:tcPr>
                  <w:tcW w:type="dxa" w:w="2252"/>
                  <w:tcBorders>
                    <w:top w:val="single" w:color="333333" w:sz="4"/>
                    <w:left w:val="single" w:color="333333" w:sz="4"/>
                    <w:bottom w:val="single" w:color="333333" w:sz="4"/>
                    <w:right w:val="single" w:color="333333"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）服务期满，甲方对</w:t>
                  </w:r>
                  <w:r>
                    <w:rPr>
                      <w:rFonts w:ascii="仿宋_GB2312" w:hAnsi="仿宋_GB2312" w:cs="仿宋_GB2312" w:eastAsia="仿宋_GB2312"/>
                      <w:sz w:val="24"/>
                    </w:rPr>
                    <w:t>全部</w:t>
                  </w:r>
                  <w:r>
                    <w:rPr>
                      <w:rFonts w:ascii="仿宋_GB2312" w:hAnsi="仿宋_GB2312" w:cs="仿宋_GB2312" w:eastAsia="仿宋_GB2312"/>
                      <w:sz w:val="24"/>
                    </w:rPr>
                    <w:t>服务成果通过审核后，向乙方出具服务验收单</w:t>
                  </w:r>
                  <w:r>
                    <w:rPr>
                      <w:rFonts w:ascii="仿宋_GB2312" w:hAnsi="仿宋_GB2312" w:cs="仿宋_GB2312" w:eastAsia="仿宋_GB2312"/>
                      <w:sz w:val="24"/>
                    </w:rPr>
                    <w:t>，</w:t>
                  </w:r>
                  <w:r>
                    <w:rPr>
                      <w:rFonts w:ascii="仿宋_GB2312" w:hAnsi="仿宋_GB2312" w:cs="仿宋_GB2312" w:eastAsia="仿宋_GB2312"/>
                      <w:sz w:val="24"/>
                    </w:rPr>
                    <w:t>作为对乙方合同履约情况的最终认可。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）验收依据</w:t>
                  </w:r>
                  <w:r>
                    <w:rPr>
                      <w:rFonts w:ascii="仿宋_GB2312" w:hAnsi="仿宋_GB2312" w:cs="仿宋_GB2312" w:eastAsia="仿宋_GB2312"/>
                      <w:sz w:val="24"/>
                    </w:rPr>
                    <w:t>：</w:t>
                  </w:r>
                  <w:r>
                    <w:rPr>
                      <w:rFonts w:ascii="仿宋_GB2312" w:hAnsi="仿宋_GB2312" w:cs="仿宋_GB2312" w:eastAsia="仿宋_GB2312"/>
                      <w:sz w:val="24"/>
                    </w:rPr>
                    <w:t>合同文本、</w:t>
                  </w:r>
                  <w:r>
                    <w:rPr>
                      <w:rFonts w:ascii="仿宋_GB2312" w:hAnsi="仿宋_GB2312" w:cs="仿宋_GB2312" w:eastAsia="仿宋_GB2312"/>
                      <w:sz w:val="24"/>
                    </w:rPr>
                    <w:t>磋商</w:t>
                  </w:r>
                  <w:r>
                    <w:rPr>
                      <w:rFonts w:ascii="仿宋_GB2312" w:hAnsi="仿宋_GB2312" w:cs="仿宋_GB2312" w:eastAsia="仿宋_GB2312"/>
                      <w:sz w:val="24"/>
                    </w:rPr>
                    <w:t>文件、</w:t>
                  </w:r>
                  <w:r>
                    <w:rPr>
                      <w:rFonts w:ascii="仿宋_GB2312" w:hAnsi="仿宋_GB2312" w:cs="仿宋_GB2312" w:eastAsia="仿宋_GB2312"/>
                      <w:sz w:val="24"/>
                    </w:rPr>
                    <w:t>响应</w:t>
                  </w:r>
                  <w:r>
                    <w:rPr>
                      <w:rFonts w:ascii="仿宋_GB2312" w:hAnsi="仿宋_GB2312" w:cs="仿宋_GB2312" w:eastAsia="仿宋_GB2312"/>
                      <w:sz w:val="24"/>
                    </w:rPr>
                    <w:t>文件。</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合同签订之日至项目结束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合同签订之日至项目结束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杭州</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成都</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服务期满，甲方对所有服务成果通过审核后，向乙方出具服务验收单作为对乙方合同履约情况的最终认可。验收依据：合同文本、磋商文件、响应文件。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服务期满，甲方对所有服务成果通过审核后，向乙方出具服务验收单作为对乙方合同履约情况的最终认可。验收依据：合同文本、磋商文件、响应文件。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进度款，合同正式生效后，达到付款条件起7个工作日内，支付合同总金额的70.0%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进度款，验收通过后，达到付款条件起30个工作日内，支付合同总金额的30.0%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进度款，合同正式生效后，达到付款条件起7个工作日内，支付合同总金额的70.0%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进度款，验收通过后，达到付款条件起30个工作日内，支付合同总金额的30.0%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本合同执行过程中，如发现相关事项约定不明确，或者履行监管程序受到限制需要增加、调整约定事项的，甲乙双方可对合同书相关条款进行变更，并签订补充协议或者重新签订合同书 ；因不可抗力导致双方或某一方无法履行本合同书的，根据不可抗力的影响，可部分或者全部免除无法履约方的责任，法律另有规定的除外；甲乙双方如因一方违反本合同书，应根据《中华人民共和国民法典》的有关规定，向对方支付违约金；因本合同书或执行本合同书产生的任何争议，应当由甲乙双方协商解决，如果协商不成，应将争议提交采购人所在地法院管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本合同执行过程中，如发现相关事项约定不明确，或者履行监管程序受到限制需要增加、调整约定事项的，甲乙双方可对合同书相关条款进行变更，并签订补充协议或者重新签订合同书 ；因不可抗力导致双方或某一方无法履行本合同书的，根据不可抗力的影响，可部分或者全部免除无法履约方的责任，法律另有规定的除外；甲乙双方如因一方违反本合同书，应根据《中华人民共和国民法典》的有关规定，向对方支付违约金；因本合同书或执行本合同书产生的任何争议，应当由甲乙双方协商解决，如果协商不成，应将争议提交采购人所在地法院管辖。</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合同其他条款：项目交付内容，以市科技局最终审定的方案为准。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供应商应是独立承担民事责任能力的法人、其他组织或自然人，法人、其他组织须提供合法有效的营业执照或事业单位法人证等证明资料，自然人须提供身份证明；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提供投标截止前半年内任意一个月的完税证明，依法免税的单位应提供相关证明材料；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提供投标截止前半年内任意一个月的缴纳社会保险凭证，依法不需要缴纳社会保障资金的单位应提供相关证明材料；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供应商应是独立承担民事责任能力的法人、其他组织或自然人，法人、其他组织须提供合法有效的营业执照或事业单位法人证等证明资料，自然人须提供身份证明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提供投标截止前半年内任意一个月的完税证明，依法免税的单位应提供相关证明材料；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提供投标截止前半年内任意一个月的缴纳社会保险凭证，依法不需要缴纳社会保障资金的单位应提供相关证明材料；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和重大税收违法失信主体和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报价表 业绩证明资料.docx 响应文件封面 残疾人福利性单位声明函 标的清单 资格证明材料.docx 项目团队人员配备.docx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1、报价唯一； 2、报价符合磋商文件要求; 3、未超出采购预算或磋商文件规定的最高限价。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报价表 业绩证明资料.docx 响应文件封面 残疾人福利性单位声明函 标的清单 资格证明材料.docx 项目团队人员配备.docx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磋商响应文件内容：响应文件内容齐全、无遗漏。</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报价表 业绩证明资料.docx 响应文件封面 残疾人福利性单位声明函 标的清单 资格证明材料.docx 项目团队人员配备.docx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1.对磋商文件响应程度：要求实质性条款全部响应，不能有采购人不能接受的附加条件 2.服务期限：应满足磋商文件中的规定 3.投标有效期：应满足磋商文件中的规定。</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报价表 业绩证明资料.docx 响应文件封面 残疾人福利性单位声明函 标的清单 资格证明材料.docx 项目团队人员配备.docx 响应函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报价表 业绩证明资料.docx 响应文件封面 残疾人福利性单位声明函 标的清单 资格证明材料.docx 项目团队人员配备.docx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1、报价唯一； 2、报价符合磋商文件要求; 3、未超出采购预算或磋商文件规定的最高限价。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报价表 业绩证明资料.docx 响应文件封面 残疾人福利性单位声明函 标的清单 资格证明材料.docx 项目团队人员配备.docx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磋商响应文件内容：响应文件内容齐全、无遗漏。</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报价表 业绩证明资料.docx 响应文件封面 残疾人福利性单位声明函 标的清单 资格证明材料.docx 项目团队人员配备.docx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1.对磋商文件响应程度：要求实质性条款全部响应，不能有采购人不能接受的附加条件 2.服务期限：应满足磋商文件中的规定 3.投标有效期：应满足磋商文件中的规定。</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报价表 业绩证明资料.docx 响应文件封面 残疾人福利性单位声明函 标的清单 资格证明材料.docx 项目团队人员配备.docx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供应商针对本项目提供总体服务方案内容，包括但不限于：①总体实施方案；②会议环节设置；③流程及各个板块设置； 上述3项方案共计得分12分，每项方案内容为4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活动策划与氛围布置</w:t>
            </w:r>
          </w:p>
        </w:tc>
        <w:tc>
          <w:tcPr>
            <w:tcW w:type="dxa" w:w="2492"/>
          </w:tcPr>
          <w:p>
            <w:pPr>
              <w:pStyle w:val="null3"/>
            </w:pPr>
            <w:r>
              <w:rPr>
                <w:rFonts w:ascii="仿宋_GB2312" w:hAnsi="仿宋_GB2312" w:cs="仿宋_GB2312" w:eastAsia="仿宋_GB2312"/>
              </w:rPr>
              <w:t>供应商针对本项目提供的活动策划与氛围布置，包括但不限于：①活动的场地布置；②氛围营造；③活动策划； 上述3项方案共计得分12分，每项方案内容为4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供应商针对本项目提供的宣传方案，包括但不限于①整体宣传构思；②宣传渠道；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进度安排及保证措施</w:t>
            </w:r>
          </w:p>
        </w:tc>
        <w:tc>
          <w:tcPr>
            <w:tcW w:type="dxa" w:w="2492"/>
          </w:tcPr>
          <w:p>
            <w:pPr>
              <w:pStyle w:val="null3"/>
            </w:pPr>
            <w:r>
              <w:rPr>
                <w:rFonts w:ascii="仿宋_GB2312" w:hAnsi="仿宋_GB2312" w:cs="仿宋_GB2312" w:eastAsia="仿宋_GB2312"/>
              </w:rPr>
              <w:t>供应商针对本项目提供的进度安排及保障措施内容，包括但不限于:①进度计划、各阶段实施流程②进度保障措施；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供应商针对本次项目的服务质量包含但不限于①服务质量目标；②质量保障措施；③服务响应时间；④应急预案等； 上述4项方案共计得分8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根据供应商的团队人员配备情况进行评审：内容包含但不限于：会议总负责人、行程策划人员、现场负责人、会议接待人员、技术设备值守人员、财务负责人、资料负责人等。 评审标准：根据供应商提供的团队人员数量及岗位进行客观评审，满足上述基本人员要求7人得20分，不足7人不得分，每多配备1人加2分，本项最多得30分。提供人员在响应文件递交截止时间前6个月内任意一个月的社保缴纳证明</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供应商提供2023年8月1日至今的类似业绩证明材料，每提供一份业绩合同得5分，满分为20分。 注：以合同或中标通知书签订时间为准，供应商应在响应文件中提供业绩合同复印件或扫描件且加盖单位公章。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2.满足招标文件实质性要求且最终报价最低的投标人的价格为投标基准价，其价格分为满分10分。 3.投标报价得分＝（投标基准价／最终投标报价）×10。 4.投标报价不完整的，不进入投标基准价的计算，本项得0分。 注：本项目已专门面向中小企业，对于小微企业的投标报价不再进行价格扣除，投标人须如实填写《中小企业声明函》。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供应商针对本项目提供总体服务方案内容，包括但不限于：①总体实施方案；②会议环节设置；③流程及各个板块设置； 上述3项方案共计得分12分，每项方案内容为4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活动策划与氛围布置</w:t>
            </w:r>
          </w:p>
        </w:tc>
        <w:tc>
          <w:tcPr>
            <w:tcW w:type="dxa" w:w="2492"/>
          </w:tcPr>
          <w:p>
            <w:pPr>
              <w:pStyle w:val="null3"/>
            </w:pPr>
            <w:r>
              <w:rPr>
                <w:rFonts w:ascii="仿宋_GB2312" w:hAnsi="仿宋_GB2312" w:cs="仿宋_GB2312" w:eastAsia="仿宋_GB2312"/>
              </w:rPr>
              <w:t>供应商针对本项目提供的活动策划与氛围布置，包括但不限于：①活动的场地布置；②氛围营造；③活动策划； 上述3项方案共计得分12分，每项方案内容为4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供应商针对本项目提供的宣传方案，包括但不限于①整体宣传构思；②宣传渠道；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进度安排及保证措施</w:t>
            </w:r>
          </w:p>
        </w:tc>
        <w:tc>
          <w:tcPr>
            <w:tcW w:type="dxa" w:w="2492"/>
          </w:tcPr>
          <w:p>
            <w:pPr>
              <w:pStyle w:val="null3"/>
            </w:pPr>
            <w:r>
              <w:rPr>
                <w:rFonts w:ascii="仿宋_GB2312" w:hAnsi="仿宋_GB2312" w:cs="仿宋_GB2312" w:eastAsia="仿宋_GB2312"/>
              </w:rPr>
              <w:t>供应商针对本项目提供的进度安排及保障措施内容，包括但不限于:①进度计划、各阶段实施流程②进度保障措施；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供应商针对本次项目的服务质量包含但不限于①服务质量目标；②质量保障措施；③服务响应时间；④应急预案等； 上述4项方案共计得分8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根据供应商的团队人员配备情况进行评审：内容包含但不限于：会议总负责人、行程策划人员、现场负责人、会议接待人员、技术设备值守人员、财务负责人、资料负责人等。 评审标准：根据供应商提供的团队人员数量及岗位进行客观评审，满足上述基本人员要求7人得20分，不足7人不得分，每多配备1人加2分，本项最多得30分。提供人员在响应文件递交截止时间前6个月内任意一个月的社保缴纳证明</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供应商提供2023年8月1日至今的类似业绩证明材料，每提供一份业绩合同得5分，满分为20分。 注：以合同或中标通知书签订时间为准，供应商应在响应文件中提供业绩合同复印件或扫描件且加盖单位公章。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2.满足招标文件实质性要求且最终报价最低的投标人的价格为投标基准价，其价格分为满分10分。 3.投标报价得分＝（投标基准价／最终投标报价）×10。 4.投标报价不完整的，不进入投标基准价的计算，本项得0分。 注：本项目已专门面向中小企业，对于小微企业的投标报价不再进行价格扣除，投标人须如实填写《中小企业声明函》。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详见附件：项目团队人员配备.docx</w:t>
      </w:r>
    </w:p>
    <w:p>
      <w:pPr>
        <w:pStyle w:val="null3"/>
        <w:ind w:firstLine="960"/>
      </w:pPr>
      <w:r>
        <w:rPr>
          <w:rFonts w:ascii="仿宋_GB2312" w:hAnsi="仿宋_GB2312" w:cs="仿宋_GB2312" w:eastAsia="仿宋_GB2312"/>
        </w:rPr>
        <w:t>详见附件：业绩证明资料.docx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详见附件：项目团队人员配备.docx</w:t>
      </w:r>
    </w:p>
    <w:p>
      <w:pPr>
        <w:pStyle w:val="null3"/>
        <w:ind w:firstLine="960"/>
      </w:pPr>
      <w:r>
        <w:rPr>
          <w:rFonts w:ascii="仿宋_GB2312" w:hAnsi="仿宋_GB2312" w:cs="仿宋_GB2312" w:eastAsia="仿宋_GB2312"/>
        </w:rPr>
        <w:t>详见附件：业绩证明资料.docx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