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95018">
      <w:pPr>
        <w:pStyle w:val="3"/>
        <w:spacing w:line="312" w:lineRule="auto"/>
        <w:jc w:val="center"/>
        <w:rPr>
          <w:rFonts w:hint="eastAsia" w:ascii="宋体" w:hAnsi="宋体" w:eastAsia="宋体" w:cs="宋体"/>
          <w:color w:val="auto"/>
          <w:szCs w:val="32"/>
          <w:highlight w:val="none"/>
          <w:lang w:val="en-US" w:eastAsia="zh-CN"/>
        </w:rPr>
      </w:pPr>
      <w:bookmarkStart w:id="0" w:name="_Toc9102"/>
      <w:r>
        <w:rPr>
          <w:rFonts w:hint="eastAsia" w:ascii="宋体" w:hAnsi="宋体" w:eastAsia="宋体" w:cs="宋体"/>
          <w:color w:val="auto"/>
          <w:szCs w:val="32"/>
          <w:highlight w:val="none"/>
          <w:lang w:val="en-US" w:eastAsia="zh-CN"/>
        </w:rPr>
        <w:t>合同条款及格式</w:t>
      </w:r>
      <w:bookmarkEnd w:id="0"/>
      <w:r>
        <w:rPr>
          <w:rFonts w:hint="eastAsia" w:ascii="宋体" w:hAnsi="宋体" w:eastAsia="宋体" w:cs="宋体"/>
          <w:color w:val="auto"/>
          <w:szCs w:val="32"/>
          <w:highlight w:val="none"/>
          <w:lang w:val="en-US" w:eastAsia="zh-CN"/>
        </w:rPr>
        <w:t xml:space="preserve"> </w:t>
      </w:r>
    </w:p>
    <w:p w14:paraId="12C168E2">
      <w:pPr>
        <w:spacing w:line="520" w:lineRule="exact"/>
        <w:jc w:val="both"/>
        <w:textAlignment w:val="baseline"/>
        <w:rPr>
          <w:rFonts w:hint="eastAsia" w:ascii="宋体" w:hAnsi="宋体" w:eastAsia="宋体" w:cs="宋体"/>
          <w:sz w:val="24"/>
          <w:szCs w:val="24"/>
          <w:lang w:val="zh-CN"/>
        </w:rPr>
      </w:pPr>
      <w:r>
        <w:rPr>
          <w:rFonts w:hint="eastAsia" w:ascii="宋体" w:hAnsi="宋体" w:eastAsia="宋体" w:cs="宋体"/>
          <w:sz w:val="24"/>
          <w:szCs w:val="24"/>
          <w:lang w:val="zh-CN"/>
        </w:rPr>
        <w:t>（说明 ：本合同模板仅供参考，合同具体条款由采购人与中标单位自行协商，</w:t>
      </w:r>
    </w:p>
    <w:p w14:paraId="441A411A">
      <w:pPr>
        <w:spacing w:line="520" w:lineRule="exact"/>
        <w:ind w:firstLine="480" w:firstLineChars="200"/>
        <w:jc w:val="center"/>
        <w:textAlignment w:val="baseline"/>
        <w:rPr>
          <w:rFonts w:hint="eastAsia" w:ascii="宋体" w:hAnsi="宋体" w:eastAsia="宋体" w:cs="宋体"/>
          <w:sz w:val="24"/>
          <w:szCs w:val="24"/>
          <w:lang w:val="zh-CN"/>
        </w:rPr>
      </w:pPr>
      <w:r>
        <w:rPr>
          <w:rFonts w:hint="eastAsia" w:ascii="宋体" w:hAnsi="宋体" w:eastAsia="宋体" w:cs="宋体"/>
          <w:sz w:val="24"/>
          <w:szCs w:val="24"/>
          <w:lang w:val="zh-CN"/>
        </w:rPr>
        <w:t>最终合同以采购人给出的合同定稿为准。）</w:t>
      </w:r>
    </w:p>
    <w:p w14:paraId="4E1D1A0B">
      <w:pPr>
        <w:keepNext w:val="0"/>
        <w:keepLines w:val="0"/>
        <w:pageBreakBefore w:val="0"/>
        <w:kinsoku/>
        <w:wordWrap/>
        <w:overflowPunct/>
        <w:topLinePunct w:val="0"/>
        <w:autoSpaceDE w:val="0"/>
        <w:autoSpaceDN w:val="0"/>
        <w:bidi w:val="0"/>
        <w:adjustRightInd w:val="0"/>
        <w:spacing w:line="360" w:lineRule="auto"/>
        <w:jc w:val="both"/>
        <w:textAlignment w:val="auto"/>
        <w:rPr>
          <w:rFonts w:hint="eastAsia" w:ascii="宋体" w:hAnsi="宋体" w:eastAsia="宋体" w:cs="宋体"/>
          <w:sz w:val="24"/>
          <w:szCs w:val="24"/>
          <w:highlight w:val="none"/>
          <w:u w:val="single"/>
        </w:rPr>
      </w:pPr>
      <w:r>
        <w:rPr>
          <w:rFonts w:hint="eastAsia" w:ascii="宋体" w:hAnsi="宋体" w:eastAsia="宋体" w:cs="宋体"/>
          <w:bCs/>
          <w:sz w:val="24"/>
          <w:szCs w:val="24"/>
          <w:highlight w:val="none"/>
        </w:rPr>
        <w:t>甲方（采购人）：</w:t>
      </w:r>
      <w:r>
        <w:rPr>
          <w:rFonts w:hint="eastAsia" w:ascii="宋体" w:hAnsi="宋体" w:eastAsia="宋体" w:cs="宋体"/>
          <w:bCs/>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p>
    <w:p w14:paraId="0A0F77B1">
      <w:pPr>
        <w:keepNext w:val="0"/>
        <w:keepLines w:val="0"/>
        <w:pageBreakBefore w:val="0"/>
        <w:kinsoku/>
        <w:wordWrap/>
        <w:overflowPunct/>
        <w:topLinePunct w:val="0"/>
        <w:autoSpaceDE w:val="0"/>
        <w:autoSpaceDN w:val="0"/>
        <w:bidi w:val="0"/>
        <w:adjustRightInd w:val="0"/>
        <w:spacing w:line="360" w:lineRule="auto"/>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乙方（成交供应商）：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p>
    <w:p w14:paraId="7D119744">
      <w:pPr>
        <w:keepNext w:val="0"/>
        <w:keepLines w:val="0"/>
        <w:pageBreakBefore w:val="0"/>
        <w:widowControl w:val="0"/>
        <w:kinsoku/>
        <w:wordWrap w:val="0"/>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u w:val="single"/>
          <w:lang w:val="en-US" w:eastAsia="zh-CN"/>
        </w:rPr>
        <w:t>2026校友招商暨交流活动合同包（）</w:t>
      </w:r>
      <w:r>
        <w:rPr>
          <w:rFonts w:hint="eastAsia" w:ascii="宋体" w:hAnsi="宋体" w:eastAsia="宋体" w:cs="宋体"/>
          <w:bCs/>
          <w:sz w:val="24"/>
          <w:szCs w:val="24"/>
          <w:highlight w:val="none"/>
          <w:u w:val="single"/>
        </w:rPr>
        <w:t>(项目编号：</w:t>
      </w:r>
      <w:r>
        <w:rPr>
          <w:rFonts w:hint="eastAsia" w:ascii="宋体" w:hAnsi="宋体" w:eastAsia="宋体" w:cs="宋体"/>
          <w:bCs/>
          <w:sz w:val="24"/>
          <w:szCs w:val="24"/>
          <w:highlight w:val="none"/>
          <w:u w:val="single"/>
          <w:lang w:eastAsia="zh-CN"/>
        </w:rPr>
        <w:t xml:space="preserve">TYRZHC-2026-017 </w:t>
      </w:r>
      <w:r>
        <w:rPr>
          <w:rFonts w:hint="eastAsia" w:ascii="宋体" w:hAnsi="宋体" w:eastAsia="宋体" w:cs="宋体"/>
          <w:bCs/>
          <w:sz w:val="24"/>
          <w:szCs w:val="24"/>
          <w:highlight w:val="none"/>
          <w:u w:val="single"/>
        </w:rPr>
        <w:t>)</w:t>
      </w:r>
      <w:r>
        <w:rPr>
          <w:rFonts w:hint="eastAsia" w:ascii="宋体" w:hAnsi="宋体" w:eastAsia="宋体" w:cs="宋体"/>
          <w:bCs/>
          <w:sz w:val="24"/>
          <w:szCs w:val="24"/>
          <w:highlight w:val="none"/>
        </w:rPr>
        <w:t>由天煜荣泽工程咨询有限公司组织竞争性磋商，</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西安市科学技术局</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(以下简称“甲方”)确定</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（以下简称“乙方”）为</w:t>
      </w:r>
      <w:r>
        <w:rPr>
          <w:rFonts w:hint="eastAsia" w:ascii="宋体" w:hAnsi="宋体" w:eastAsia="宋体" w:cs="宋体"/>
          <w:bCs/>
          <w:sz w:val="24"/>
          <w:szCs w:val="24"/>
          <w:highlight w:val="none"/>
          <w:lang w:val="en-US" w:eastAsia="zh-CN"/>
        </w:rPr>
        <w:t>该项目的</w:t>
      </w:r>
      <w:r>
        <w:rPr>
          <w:rFonts w:hint="eastAsia" w:ascii="宋体" w:hAnsi="宋体" w:eastAsia="宋体" w:cs="宋体"/>
          <w:bCs/>
          <w:sz w:val="24"/>
          <w:szCs w:val="24"/>
          <w:highlight w:val="none"/>
        </w:rPr>
        <w:t>成交供应商。</w:t>
      </w:r>
    </w:p>
    <w:p w14:paraId="7DFB1AE6">
      <w:pPr>
        <w:autoSpaceDE w:val="0"/>
        <w:autoSpaceDN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依据《中华人民共和国</w:t>
      </w:r>
      <w:r>
        <w:rPr>
          <w:rFonts w:hint="eastAsia" w:ascii="宋体" w:hAnsi="宋体" w:eastAsia="宋体" w:cs="宋体"/>
          <w:bCs/>
          <w:sz w:val="24"/>
          <w:szCs w:val="24"/>
          <w:highlight w:val="none"/>
          <w:lang w:val="en-US" w:eastAsia="zh-CN"/>
        </w:rPr>
        <w:t>民法典</w:t>
      </w:r>
      <w:r>
        <w:rPr>
          <w:rFonts w:hint="eastAsia" w:ascii="宋体" w:hAnsi="宋体" w:eastAsia="宋体" w:cs="宋体"/>
          <w:bCs/>
          <w:sz w:val="24"/>
          <w:szCs w:val="24"/>
          <w:highlight w:val="none"/>
        </w:rPr>
        <w:t>》和《中华人民共和国政府采购法》之规定，经双方在平等、自愿、互利的基础上，签订本合同，共同信守。</w:t>
      </w:r>
    </w:p>
    <w:p w14:paraId="1B95EB3D">
      <w:pPr>
        <w:autoSpaceDE w:val="0"/>
        <w:autoSpaceDN w:val="0"/>
        <w:adjustRightIn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一、合同价款</w:t>
      </w:r>
    </w:p>
    <w:p w14:paraId="4B4A2C57">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（一）合同价款（最终磋商报价）为人民币（大写）      （¥      ）。</w:t>
      </w:r>
    </w:p>
    <w:p w14:paraId="36C04A6C">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（二）合同价款包括但不限于人员工资、投入的材料费和机械费、工作、生活、交通、通讯、设备（仪器）、劳动力、财务、管理费、利润、风险、各种税金等所有成本。</w:t>
      </w:r>
    </w:p>
    <w:p w14:paraId="42D3DCC0">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（三）合同价款一次性包死，不受市场价格变化因素的影响。</w:t>
      </w:r>
    </w:p>
    <w:p w14:paraId="3DE57C4A">
      <w:pPr>
        <w:autoSpaceDE w:val="0"/>
        <w:autoSpaceDN w:val="0"/>
        <w:adjustRightInd w:val="0"/>
        <w:spacing w:line="360" w:lineRule="auto"/>
        <w:ind w:firstLine="562" w:firstLineChars="200"/>
        <w:rPr>
          <w:rFonts w:hint="default" w:ascii="宋体" w:hAnsi="宋体" w:eastAsia="宋体" w:cs="宋体"/>
          <w:color w:val="000000"/>
          <w:sz w:val="24"/>
          <w:szCs w:val="24"/>
          <w:highlight w:val="none"/>
          <w:u w:val="single"/>
          <w:lang w:val="en-US" w:eastAsia="zh-CN"/>
        </w:rPr>
      </w:pPr>
      <w:r>
        <w:rPr>
          <w:rFonts w:hint="eastAsia" w:ascii="宋体" w:hAnsi="宋体" w:eastAsia="宋体" w:cs="宋体"/>
          <w:b/>
          <w:bCs/>
          <w:sz w:val="28"/>
          <w:szCs w:val="28"/>
          <w:highlight w:val="none"/>
          <w:lang w:val="en-US" w:eastAsia="zh-CN"/>
        </w:rPr>
        <w:t>二、委托工作内容：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 xml:space="preserve">                                      </w:t>
      </w:r>
    </w:p>
    <w:p w14:paraId="11A77319">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三、款项结算</w:t>
      </w:r>
      <w:bookmarkStart w:id="1" w:name="_GoBack"/>
      <w:bookmarkEnd w:id="1"/>
    </w:p>
    <w:p w14:paraId="05F4E589">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（一）付款方式：合同正式生效后7个工作日内，支付合同总价的70％；验收通过后30个工作日内，支付合同剩余总价的30％。</w:t>
      </w:r>
    </w:p>
    <w:p w14:paraId="201DEE06">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（二）结算方式：银行转账。</w:t>
      </w:r>
    </w:p>
    <w:p w14:paraId="46518A91">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（三）结算单位：由甲方负责结算，乙方开具合同总价款的全额发票交甲方。</w:t>
      </w:r>
    </w:p>
    <w:p w14:paraId="7853F794">
      <w:pPr>
        <w:autoSpaceDE w:val="0"/>
        <w:autoSpaceDN w:val="0"/>
        <w:adjustRightInd w:val="0"/>
        <w:spacing w:line="360" w:lineRule="auto"/>
        <w:ind w:firstLine="562" w:firstLineChars="20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四、服务地点及服务期</w:t>
      </w:r>
    </w:p>
    <w:p w14:paraId="73488487">
      <w:pPr>
        <w:adjustRightInd w:val="0"/>
        <w:snapToGrid w:val="0"/>
        <w:spacing w:line="360" w:lineRule="auto"/>
        <w:ind w:firstLine="480" w:firstLineChars="200"/>
        <w:rPr>
          <w:rFonts w:hint="eastAsia" w:ascii="宋体" w:hAnsi="宋体" w:cs="宋体"/>
          <w:color w:val="000000"/>
          <w:sz w:val="24"/>
          <w:szCs w:val="24"/>
          <w:u w:val="single"/>
          <w:lang w:val="en-US" w:eastAsia="zh-CN"/>
        </w:rPr>
      </w:pPr>
      <w:r>
        <w:rPr>
          <w:rFonts w:hint="eastAsia" w:ascii="宋体" w:hAnsi="宋体" w:eastAsia="宋体" w:cs="宋体"/>
          <w:color w:val="000000"/>
          <w:sz w:val="24"/>
          <w:szCs w:val="24"/>
          <w:lang w:val="en-US" w:eastAsia="zh-CN"/>
        </w:rPr>
        <w:t>（一）服务地点</w:t>
      </w:r>
      <w:r>
        <w:rPr>
          <w:rFonts w:hint="eastAsia" w:ascii="宋体" w:hAnsi="宋体" w:eastAsia="宋体" w:cs="宋体"/>
          <w:color w:val="000000"/>
          <w:sz w:val="24"/>
          <w:szCs w:val="24"/>
          <w:highlight w:val="none"/>
          <w:lang w:val="en-US" w:eastAsia="zh-CN"/>
        </w:rPr>
        <w:t>：</w:t>
      </w:r>
      <w:r>
        <w:rPr>
          <w:rFonts w:hint="eastAsia" w:ascii="宋体" w:hAnsi="宋体" w:cs="宋体"/>
          <w:color w:val="000000"/>
          <w:sz w:val="24"/>
          <w:szCs w:val="24"/>
          <w:u w:val="single"/>
          <w:lang w:val="en-US" w:eastAsia="zh-CN"/>
        </w:rPr>
        <w:t xml:space="preserve"> 甲方指定地点  </w:t>
      </w:r>
    </w:p>
    <w:p w14:paraId="630E5DEC">
      <w:pPr>
        <w:adjustRightInd w:val="0"/>
        <w:snapToGrid w:val="0"/>
        <w:spacing w:line="360" w:lineRule="auto"/>
        <w:ind w:firstLine="480" w:firstLineChars="200"/>
        <w:rPr>
          <w:rFonts w:hint="eastAsia" w:ascii="宋体" w:hAnsi="宋体" w:cs="宋体"/>
          <w:color w:val="000000"/>
          <w:sz w:val="24"/>
          <w:szCs w:val="24"/>
          <w:u w:val="single"/>
          <w:lang w:val="en-US" w:eastAsia="zh-CN"/>
        </w:rPr>
      </w:pPr>
      <w:r>
        <w:rPr>
          <w:rFonts w:hint="eastAsia" w:ascii="宋体" w:hAnsi="宋体" w:eastAsia="宋体" w:cs="宋体"/>
          <w:color w:val="000000"/>
          <w:sz w:val="24"/>
          <w:szCs w:val="24"/>
          <w:lang w:val="en-US" w:eastAsia="zh-CN"/>
        </w:rPr>
        <w:t>（二）服务期：</w:t>
      </w:r>
      <w:r>
        <w:rPr>
          <w:rFonts w:hint="eastAsia" w:ascii="宋体" w:hAnsi="宋体" w:cs="宋体"/>
          <w:color w:val="000000"/>
          <w:sz w:val="24"/>
          <w:szCs w:val="24"/>
          <w:u w:val="single"/>
          <w:lang w:val="en-US" w:eastAsia="zh-CN"/>
        </w:rPr>
        <w:t xml:space="preserve">自合同签订之日起项目结束。   </w:t>
      </w:r>
    </w:p>
    <w:p w14:paraId="18A0D2B2">
      <w:pPr>
        <w:adjustRightInd w:val="0"/>
        <w:snapToGri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五、服务质量保证</w:t>
      </w:r>
    </w:p>
    <w:p w14:paraId="59576143">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（一）乙方提供的成果文件必须保证符合国家相关程序和相关规定。</w:t>
      </w:r>
    </w:p>
    <w:p w14:paraId="36B091E7">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（二）乙方提供相关成果文件确保真实性、可靠性。</w:t>
      </w:r>
    </w:p>
    <w:p w14:paraId="294C1C43">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六、服务要求</w:t>
      </w:r>
    </w:p>
    <w:p w14:paraId="79001320">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（一）在服务期内，乙方不得因价格优惠而降低服务质量。</w:t>
      </w:r>
    </w:p>
    <w:p w14:paraId="0D9B23A1">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（二）在服务期内，乙方不得以任何形式将工作任务再委托其他个人和机构。</w:t>
      </w:r>
    </w:p>
    <w:p w14:paraId="3D3A4123">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（三）乙方如遇到不能按时提供服务或完成工作的情况，应及时通知甲方，协商解决。</w:t>
      </w:r>
    </w:p>
    <w:p w14:paraId="7B1A64B9">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乙方应按合同约定派驻人员从事具体会计工作，并接受甲方检查我方派驻人员的资质和基本情况。派驻人员工作水平不能达到甲方的工作任务要求，甲方可要求更换人员。确因人员变动等原因有调整的，须经甲方认定会计人员资格后方可参与工作。</w:t>
      </w:r>
    </w:p>
    <w:p w14:paraId="473B57D5">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（五）在服务期内，乙方若发生足以影响服务能力的重大变化，应在变化发生后十个工作日内书面通知甲方，甲方有权根据实际情况决定是否保留定点服务资格。</w:t>
      </w:r>
    </w:p>
    <w:p w14:paraId="3F971335">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（六）乙方对审计项目的违法及违规行为，应及时向甲方书面反映。</w:t>
      </w:r>
    </w:p>
    <w:p w14:paraId="1ACAD94F">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为保证质量、服务进度，乙方应当建立健全服务保障体系，保障体系应当包含主要业务联系人、项目负责人、投诉管理人、联系方式及分工、响应时间等内容。甲方根据工作实际或乙方配合及服务质量情况，有权对工作内容进行调整。</w:t>
      </w:r>
    </w:p>
    <w:p w14:paraId="1B144C2E">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（八）乙方应当对审计工作质量负责，甲方有权对乙方的成果文件进行复核，乙方应当无条件配合核实、更正等相关工作。</w:t>
      </w:r>
    </w:p>
    <w:p w14:paraId="01446F7E">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九）乙方应建立健全档案管理制度，完整、准确、真实地反映和记录项目的审计过程和结果，做好各类资料的归集、存档和保管工作。乙方在提供审计服务过程中应根据甲方要求及时完整的移交审计实施方案、审计工作底稿、审计报告等审计资料，包含纸质版、电子版资料。</w:t>
      </w:r>
    </w:p>
    <w:p w14:paraId="049EE486">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（十）乙方在完成审计现场工作后五个工作日内向甲方提供成果文件。</w:t>
      </w:r>
    </w:p>
    <w:p w14:paraId="7564594F">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（十一）在服务期内，乙方的登记、注册及乙方承诺配备项目组人员等信息发生变化时，应及时向甲方申请更新。</w:t>
      </w:r>
    </w:p>
    <w:p w14:paraId="52CEC2A2">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（十二）甲方在服务期限内从工作态度、业务能力、综合素质等方面对乙方的服务情况进行综合评价，对履约评价不合格的服务机构，取消服务资格。</w:t>
      </w:r>
    </w:p>
    <w:p w14:paraId="4450A407">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（十三）下列行为作为服务机构的专项评价内容，服务机构在服务期内有下列行为之一的，甲方将单方面解除合同，并计入政府采购不良行为记录名单，追究其相关责任：</w:t>
      </w:r>
    </w:p>
    <w:p w14:paraId="358325DB">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1.通过捏造事实、隐瞒真相、提供虚假信息等不正当方式，骗取入库资格的；</w:t>
      </w:r>
    </w:p>
    <w:p w14:paraId="48BCD32B">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2.无正当理由放弃中选机会或拒不履行服务义务的；</w:t>
      </w:r>
    </w:p>
    <w:p w14:paraId="4F51D643">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3.无相应能力承揽业务或未尽职履责造成重大失误，导致委托单位遭受重大损失的；</w:t>
      </w:r>
    </w:p>
    <w:p w14:paraId="59A94144">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4.提供的审计（审核）意见严重失实、审计结论不准确，并且拒绝进行重新审计或纠正的；</w:t>
      </w:r>
    </w:p>
    <w:p w14:paraId="69501EA6">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5.在开展业务过程中，串通违规操作、弄虚作假、提供虚假报告的或对可能存在的重大舞弊以及违纪违法行为未能及时告知，导致审计结果不客观的；</w:t>
      </w:r>
    </w:p>
    <w:p w14:paraId="6ADDFFE3">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6.转包或分包委托审计业务的；</w:t>
      </w:r>
    </w:p>
    <w:p w14:paraId="5276C3BD">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7.出现其他影响甲方声誉和利益的；</w:t>
      </w:r>
    </w:p>
    <w:p w14:paraId="00431307">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8.服务机构及其从业人员在服务过程中，利用便利违规操作谋取不正当利益的；</w:t>
      </w:r>
    </w:p>
    <w:p w14:paraId="79F178B4">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9.违反保密协议，泄露审计项目信息，给被审单位造成损失和不良影响的；</w:t>
      </w:r>
    </w:p>
    <w:p w14:paraId="6B8E1FB6">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10.发生与服务相关的其他违规违纪行为。</w:t>
      </w:r>
    </w:p>
    <w:p w14:paraId="0B768754">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七、双方的权利和义务</w:t>
      </w:r>
    </w:p>
    <w:p w14:paraId="7D68B670">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（一）甲方的权利与义务</w:t>
      </w:r>
    </w:p>
    <w:p w14:paraId="507AF6F5">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1、甲方负责配合本次项目服务工作；</w:t>
      </w:r>
    </w:p>
    <w:p w14:paraId="2C87C9C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2、甲方应按本合同的约定向乙方支付合同价款；</w:t>
      </w:r>
    </w:p>
    <w:p w14:paraId="22EC43DE">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3、甲方根据需要对乙方提供的实施方案进行审核，提供建议及意见，确定最终实施的方案，以便乙方遵照执行；</w:t>
      </w:r>
    </w:p>
    <w:p w14:paraId="7EF46CBF">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4、甲方有权对乙方的工作进行监督和考核。</w:t>
      </w:r>
    </w:p>
    <w:p w14:paraId="6A2308FE">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（二）乙方的权利与义务</w:t>
      </w:r>
    </w:p>
    <w:p w14:paraId="157D7451">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1、乙方的工作人员必须严格遵守甲方的规章制度，以良好的形象和积极的工作态度，按甲方要求开展工作；</w:t>
      </w:r>
    </w:p>
    <w:p w14:paraId="4AA5918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2、乙方应服从甲方统筹管理并按流程开展工作；</w:t>
      </w:r>
    </w:p>
    <w:p w14:paraId="7C2128D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3、乙方保证安排的相关人员需按照指定时间到达指定地点进行服务。</w:t>
      </w:r>
    </w:p>
    <w:p w14:paraId="076CAC4C">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八、知识产权</w:t>
      </w:r>
    </w:p>
    <w:p w14:paraId="6F29FBBC">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（一）本次采购所涉及到的所有成果的知识产权归甲方所有。 </w:t>
      </w:r>
    </w:p>
    <w:p w14:paraId="188977F3">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（二）乙方为执行本合同而提供的技术资料使用权归甲方所有。</w:t>
      </w:r>
    </w:p>
    <w:p w14:paraId="1DC10EAD">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九、保密规定</w:t>
      </w:r>
    </w:p>
    <w:p w14:paraId="49E119BB">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62A17D06">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十、双方约定的其他事项</w:t>
      </w:r>
    </w:p>
    <w:p w14:paraId="68D6B0A8">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（一）甲方有权对已签订的合同根据具体执行情况及实际需要，在合同有效期内，调整、变更服务的相关内容。</w:t>
      </w:r>
    </w:p>
    <w:p w14:paraId="1F6E2961">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（二）合同未尽事宜，经双方协商后签订补充协议，补充协议为本合同的组成部分，具有同等法律效力。</w:t>
      </w:r>
    </w:p>
    <w:p w14:paraId="4BFC404C">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（三）磋商文件、补充说明、成交通知书、响应文件及澄清承诺等，都是合同文件的有效组成部分。</w:t>
      </w:r>
    </w:p>
    <w:p w14:paraId="2F085950">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十一、违约责任</w:t>
      </w:r>
    </w:p>
    <w:p w14:paraId="6A8A035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（一）按《中华人民共和国民法典》中的相关条款执行。</w:t>
      </w:r>
    </w:p>
    <w:p w14:paraId="127DE817">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（二）未按合同要求提供服务或服务质量不能满足本次招标要求，甲方会同监督机构、采购代理机构有权终止合同和对乙方违约行为进行追究，同时按政府采购法的有关规定进行相应的处罚。</w:t>
      </w:r>
    </w:p>
    <w:p w14:paraId="6F1C6FA1">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十二、合同争议解决的方式</w:t>
      </w:r>
    </w:p>
    <w:p w14:paraId="35F4CA34">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本合同在履行过程中发生的争议，由甲、乙双方当事人协商解决，协商不成的按下列第（二）种方式解决：</w:t>
      </w:r>
    </w:p>
    <w:p w14:paraId="6BD8687F">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（一）提交西安仲裁委员会仲裁；</w:t>
      </w:r>
    </w:p>
    <w:p w14:paraId="50E83027">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（二）依法向甲方所在地人民法院起诉。</w:t>
      </w:r>
    </w:p>
    <w:p w14:paraId="474EF549">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十三、合同生效</w:t>
      </w:r>
    </w:p>
    <w:p w14:paraId="2DC56B5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（一）本合同须经甲、乙双方的法定代表人（授权代表）在合同书上签字并加盖本单位公章后正式生效。</w:t>
      </w:r>
    </w:p>
    <w:p w14:paraId="4A2E3DBD">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（二）合同生效后，甲、乙双方须严格执行本合同条款的规定，全面履行合同，违者按《中华人民共和国民法典》的有关规定承担相应责任。</w:t>
      </w:r>
    </w:p>
    <w:p w14:paraId="41EF8D4A">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（三）本合同一式 肆 份，甲乙双方各执 贰 份。</w:t>
      </w:r>
    </w:p>
    <w:p w14:paraId="382CBA95">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（四）本合同如有未尽事宜，甲、乙双方协商解决。</w:t>
      </w:r>
    </w:p>
    <w:p w14:paraId="138BEFC2">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br w:type="page"/>
      </w:r>
      <w:r>
        <w:rPr>
          <w:rFonts w:hint="eastAsia" w:ascii="宋体" w:hAnsi="宋体" w:eastAsia="宋体" w:cs="宋体"/>
          <w:sz w:val="32"/>
          <w:szCs w:val="32"/>
          <w:highlight w:val="none"/>
          <w:lang w:eastAsia="zh-CN"/>
        </w:rPr>
        <w:t>（此页无正文）</w:t>
      </w:r>
    </w:p>
    <w:p w14:paraId="7FDE04B0">
      <w:pPr>
        <w:pStyle w:val="2"/>
        <w:rPr>
          <w:rFonts w:hint="default"/>
          <w:lang w:val="en-US" w:eastAsia="zh-CN"/>
        </w:rPr>
      </w:pPr>
    </w:p>
    <w:tbl>
      <w:tblPr>
        <w:tblStyle w:val="4"/>
        <w:tblW w:w="52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2"/>
        <w:gridCol w:w="4766"/>
      </w:tblGrid>
      <w:tr w14:paraId="139C2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9" w:hRule="exact"/>
          <w:jc w:val="center"/>
        </w:trPr>
        <w:tc>
          <w:tcPr>
            <w:tcW w:w="2360" w:type="pct"/>
            <w:noWrap w:val="0"/>
            <w:vAlign w:val="center"/>
          </w:tcPr>
          <w:p w14:paraId="5E6B38EA">
            <w:pPr>
              <w:rPr>
                <w:rFonts w:hint="eastAsia"/>
                <w:sz w:val="24"/>
                <w:szCs w:val="24"/>
                <w:lang w:eastAsia="zh-CN"/>
              </w:rPr>
            </w:pPr>
            <w:r>
              <w:rPr>
                <w:rFonts w:hint="eastAsia"/>
                <w:sz w:val="24"/>
                <w:szCs w:val="24"/>
              </w:rPr>
              <w:t>甲  方</w:t>
            </w:r>
            <w:r>
              <w:rPr>
                <w:rFonts w:hint="eastAsia"/>
                <w:sz w:val="24"/>
                <w:szCs w:val="24"/>
                <w:lang w:eastAsia="zh-CN"/>
              </w:rPr>
              <w:t>：</w:t>
            </w:r>
            <w:r>
              <w:rPr>
                <w:rFonts w:hint="eastAsia"/>
                <w:sz w:val="24"/>
                <w:szCs w:val="24"/>
                <w:lang w:val="en-US" w:eastAsia="zh-CN"/>
              </w:rPr>
              <w:t xml:space="preserve"> </w:t>
            </w:r>
          </w:p>
        </w:tc>
        <w:tc>
          <w:tcPr>
            <w:tcW w:w="2639" w:type="pct"/>
            <w:noWrap w:val="0"/>
            <w:vAlign w:val="center"/>
          </w:tcPr>
          <w:p w14:paraId="7A159A3B">
            <w:pPr>
              <w:rPr>
                <w:rFonts w:hint="eastAsia"/>
                <w:sz w:val="24"/>
                <w:szCs w:val="24"/>
                <w:lang w:val="en-US" w:eastAsia="zh-CN"/>
              </w:rPr>
            </w:pPr>
            <w:r>
              <w:rPr>
                <w:rFonts w:hint="eastAsia"/>
                <w:sz w:val="24"/>
                <w:szCs w:val="24"/>
              </w:rPr>
              <w:t>乙  方</w:t>
            </w:r>
            <w:r>
              <w:rPr>
                <w:rFonts w:hint="eastAsia"/>
                <w:sz w:val="24"/>
                <w:szCs w:val="24"/>
                <w:lang w:eastAsia="zh-CN"/>
              </w:rPr>
              <w:t>：</w:t>
            </w:r>
            <w:r>
              <w:rPr>
                <w:rFonts w:hint="eastAsia"/>
                <w:sz w:val="24"/>
                <w:szCs w:val="24"/>
                <w:lang w:val="en-US" w:eastAsia="zh-CN"/>
              </w:rPr>
              <w:t xml:space="preserve"> </w:t>
            </w:r>
          </w:p>
        </w:tc>
      </w:tr>
      <w:tr w14:paraId="7DB37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exact"/>
          <w:jc w:val="center"/>
        </w:trPr>
        <w:tc>
          <w:tcPr>
            <w:tcW w:w="2360" w:type="pct"/>
            <w:noWrap w:val="0"/>
            <w:vAlign w:val="center"/>
          </w:tcPr>
          <w:p w14:paraId="36B91F19">
            <w:pPr>
              <w:rPr>
                <w:rFonts w:hint="eastAsia"/>
                <w:sz w:val="24"/>
                <w:szCs w:val="24"/>
              </w:rPr>
            </w:pPr>
            <w:r>
              <w:rPr>
                <w:rFonts w:hint="eastAsia"/>
                <w:sz w:val="24"/>
                <w:szCs w:val="24"/>
              </w:rPr>
              <w:t>（盖章）</w:t>
            </w:r>
          </w:p>
        </w:tc>
        <w:tc>
          <w:tcPr>
            <w:tcW w:w="2639" w:type="pct"/>
            <w:noWrap w:val="0"/>
            <w:vAlign w:val="center"/>
          </w:tcPr>
          <w:p w14:paraId="4125C906">
            <w:pPr>
              <w:rPr>
                <w:rFonts w:hint="eastAsia"/>
                <w:sz w:val="24"/>
                <w:szCs w:val="24"/>
              </w:rPr>
            </w:pPr>
            <w:r>
              <w:rPr>
                <w:rFonts w:hint="eastAsia"/>
                <w:sz w:val="24"/>
                <w:szCs w:val="24"/>
              </w:rPr>
              <w:t>（盖章）</w:t>
            </w:r>
          </w:p>
        </w:tc>
      </w:tr>
      <w:tr w14:paraId="39317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exact"/>
          <w:jc w:val="center"/>
        </w:trPr>
        <w:tc>
          <w:tcPr>
            <w:tcW w:w="2360" w:type="pct"/>
            <w:noWrap w:val="0"/>
            <w:vAlign w:val="center"/>
          </w:tcPr>
          <w:p w14:paraId="1E8F53F0">
            <w:pPr>
              <w:rPr>
                <w:rFonts w:hint="eastAsia"/>
                <w:sz w:val="24"/>
                <w:szCs w:val="24"/>
              </w:rPr>
            </w:pPr>
            <w:r>
              <w:rPr>
                <w:rFonts w:hint="eastAsia"/>
                <w:sz w:val="24"/>
                <w:szCs w:val="24"/>
              </w:rPr>
              <w:t>地址：</w:t>
            </w:r>
            <w:r>
              <w:rPr>
                <w:rFonts w:hint="eastAsia"/>
                <w:sz w:val="24"/>
                <w:szCs w:val="24"/>
                <w:lang w:val="en-US" w:eastAsia="zh-CN"/>
              </w:rPr>
              <w:t xml:space="preserve"> </w:t>
            </w:r>
          </w:p>
        </w:tc>
        <w:tc>
          <w:tcPr>
            <w:tcW w:w="2639" w:type="pct"/>
            <w:noWrap w:val="0"/>
            <w:vAlign w:val="center"/>
          </w:tcPr>
          <w:p w14:paraId="72B8F6D9">
            <w:pPr>
              <w:rPr>
                <w:rFonts w:hint="eastAsia"/>
                <w:sz w:val="24"/>
                <w:szCs w:val="24"/>
                <w:lang w:val="en-US" w:eastAsia="zh-CN"/>
              </w:rPr>
            </w:pPr>
            <w:r>
              <w:rPr>
                <w:rFonts w:hint="eastAsia"/>
                <w:sz w:val="24"/>
                <w:szCs w:val="24"/>
              </w:rPr>
              <w:t>地址：</w:t>
            </w:r>
            <w:r>
              <w:rPr>
                <w:rFonts w:hint="eastAsia"/>
                <w:sz w:val="24"/>
                <w:szCs w:val="24"/>
                <w:lang w:val="en-US" w:eastAsia="zh-CN"/>
              </w:rPr>
              <w:t xml:space="preserve"> </w:t>
            </w:r>
          </w:p>
        </w:tc>
      </w:tr>
      <w:tr w14:paraId="14833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exact"/>
          <w:jc w:val="center"/>
        </w:trPr>
        <w:tc>
          <w:tcPr>
            <w:tcW w:w="2360" w:type="pct"/>
            <w:noWrap w:val="0"/>
            <w:vAlign w:val="center"/>
          </w:tcPr>
          <w:p w14:paraId="657B6242">
            <w:pPr>
              <w:rPr>
                <w:rFonts w:hint="eastAsia"/>
                <w:sz w:val="24"/>
                <w:szCs w:val="24"/>
                <w:lang w:val="en-US" w:eastAsia="zh-CN"/>
              </w:rPr>
            </w:pPr>
            <w:r>
              <w:rPr>
                <w:rFonts w:hint="eastAsia"/>
                <w:sz w:val="24"/>
                <w:szCs w:val="24"/>
              </w:rPr>
              <w:t>邮编：</w:t>
            </w:r>
            <w:r>
              <w:rPr>
                <w:rFonts w:hint="eastAsia"/>
                <w:sz w:val="24"/>
                <w:szCs w:val="24"/>
                <w:lang w:val="en-US" w:eastAsia="zh-CN"/>
              </w:rPr>
              <w:t xml:space="preserve"> </w:t>
            </w:r>
          </w:p>
        </w:tc>
        <w:tc>
          <w:tcPr>
            <w:tcW w:w="2639" w:type="pct"/>
            <w:noWrap w:val="0"/>
            <w:vAlign w:val="center"/>
          </w:tcPr>
          <w:p w14:paraId="1C5C5671">
            <w:pPr>
              <w:rPr>
                <w:rFonts w:hint="eastAsia"/>
                <w:sz w:val="24"/>
                <w:szCs w:val="24"/>
              </w:rPr>
            </w:pPr>
            <w:r>
              <w:rPr>
                <w:rFonts w:hint="eastAsia"/>
                <w:sz w:val="24"/>
                <w:szCs w:val="24"/>
              </w:rPr>
              <w:t>邮编：</w:t>
            </w:r>
          </w:p>
        </w:tc>
      </w:tr>
      <w:tr w14:paraId="1791E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50168D25">
            <w:pPr>
              <w:rPr>
                <w:rFonts w:hint="eastAsia"/>
                <w:sz w:val="24"/>
                <w:szCs w:val="24"/>
              </w:rPr>
            </w:pPr>
            <w:r>
              <w:rPr>
                <w:rFonts w:hint="eastAsia"/>
                <w:sz w:val="24"/>
                <w:szCs w:val="24"/>
              </w:rPr>
              <w:t xml:space="preserve">法定代表人： </w:t>
            </w:r>
          </w:p>
        </w:tc>
        <w:tc>
          <w:tcPr>
            <w:tcW w:w="2639" w:type="pct"/>
            <w:noWrap w:val="0"/>
            <w:vAlign w:val="center"/>
          </w:tcPr>
          <w:p w14:paraId="1ABC5227">
            <w:pPr>
              <w:rPr>
                <w:rFonts w:hint="eastAsia"/>
                <w:sz w:val="24"/>
                <w:szCs w:val="24"/>
              </w:rPr>
            </w:pPr>
            <w:r>
              <w:rPr>
                <w:rFonts w:hint="eastAsia"/>
                <w:sz w:val="24"/>
                <w:szCs w:val="24"/>
              </w:rPr>
              <w:t>法定代表人：</w:t>
            </w:r>
          </w:p>
        </w:tc>
      </w:tr>
      <w:tr w14:paraId="58B5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392DF7E2">
            <w:pPr>
              <w:rPr>
                <w:rFonts w:hint="eastAsia"/>
                <w:sz w:val="24"/>
                <w:szCs w:val="24"/>
              </w:rPr>
            </w:pPr>
            <w:r>
              <w:rPr>
                <w:rFonts w:hint="eastAsia"/>
                <w:sz w:val="24"/>
                <w:szCs w:val="24"/>
              </w:rPr>
              <w:t>被授权代表：</w:t>
            </w:r>
          </w:p>
        </w:tc>
        <w:tc>
          <w:tcPr>
            <w:tcW w:w="2639" w:type="pct"/>
            <w:noWrap w:val="0"/>
            <w:vAlign w:val="center"/>
          </w:tcPr>
          <w:p w14:paraId="429621E4">
            <w:pPr>
              <w:rPr>
                <w:rFonts w:hint="eastAsia"/>
                <w:sz w:val="24"/>
                <w:szCs w:val="24"/>
              </w:rPr>
            </w:pPr>
            <w:r>
              <w:rPr>
                <w:rFonts w:hint="eastAsia"/>
                <w:sz w:val="24"/>
                <w:szCs w:val="24"/>
              </w:rPr>
              <w:t>被授权代表：</w:t>
            </w:r>
          </w:p>
        </w:tc>
      </w:tr>
      <w:tr w14:paraId="073D8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278DA5FD">
            <w:pPr>
              <w:rPr>
                <w:rFonts w:hint="eastAsia"/>
                <w:sz w:val="24"/>
                <w:szCs w:val="24"/>
                <w:lang w:val="en-US" w:eastAsia="zh-CN"/>
              </w:rPr>
            </w:pPr>
            <w:r>
              <w:rPr>
                <w:rFonts w:hint="eastAsia"/>
                <w:sz w:val="24"/>
                <w:szCs w:val="24"/>
              </w:rPr>
              <w:t>电话：</w:t>
            </w:r>
            <w:r>
              <w:rPr>
                <w:rFonts w:hint="eastAsia"/>
                <w:sz w:val="24"/>
                <w:szCs w:val="24"/>
                <w:lang w:val="en-US" w:eastAsia="zh-CN"/>
              </w:rPr>
              <w:t xml:space="preserve"> </w:t>
            </w:r>
          </w:p>
        </w:tc>
        <w:tc>
          <w:tcPr>
            <w:tcW w:w="2639" w:type="pct"/>
            <w:noWrap w:val="0"/>
            <w:vAlign w:val="center"/>
          </w:tcPr>
          <w:p w14:paraId="65C08906">
            <w:pPr>
              <w:rPr>
                <w:rFonts w:hint="eastAsia"/>
                <w:sz w:val="24"/>
                <w:szCs w:val="24"/>
                <w:lang w:val="en-US" w:eastAsia="zh-CN"/>
              </w:rPr>
            </w:pPr>
            <w:r>
              <w:rPr>
                <w:rFonts w:hint="eastAsia"/>
                <w:sz w:val="24"/>
                <w:szCs w:val="24"/>
              </w:rPr>
              <w:t>电话：</w:t>
            </w:r>
            <w:r>
              <w:rPr>
                <w:rFonts w:hint="eastAsia"/>
                <w:sz w:val="24"/>
                <w:szCs w:val="24"/>
                <w:lang w:val="en-US" w:eastAsia="zh-CN"/>
              </w:rPr>
              <w:t xml:space="preserve"> </w:t>
            </w:r>
          </w:p>
        </w:tc>
      </w:tr>
      <w:tr w14:paraId="75B73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5F3B7E96">
            <w:pPr>
              <w:rPr>
                <w:rFonts w:hint="eastAsia"/>
                <w:sz w:val="24"/>
                <w:szCs w:val="24"/>
                <w:lang w:val="en-US" w:eastAsia="zh-CN"/>
              </w:rPr>
            </w:pPr>
          </w:p>
        </w:tc>
        <w:tc>
          <w:tcPr>
            <w:tcW w:w="2639" w:type="pct"/>
            <w:noWrap w:val="0"/>
            <w:vAlign w:val="center"/>
          </w:tcPr>
          <w:p w14:paraId="3512CBA7">
            <w:pPr>
              <w:rPr>
                <w:rFonts w:hint="eastAsia"/>
                <w:sz w:val="24"/>
                <w:szCs w:val="24"/>
                <w:lang w:val="en-US" w:eastAsia="zh-CN"/>
              </w:rPr>
            </w:pPr>
            <w:r>
              <w:rPr>
                <w:rFonts w:hint="eastAsia"/>
                <w:sz w:val="24"/>
                <w:szCs w:val="24"/>
              </w:rPr>
              <w:t>开户银行：</w:t>
            </w:r>
            <w:r>
              <w:rPr>
                <w:rFonts w:hint="eastAsia"/>
                <w:sz w:val="24"/>
                <w:szCs w:val="24"/>
                <w:lang w:val="en-US" w:eastAsia="zh-CN"/>
              </w:rPr>
              <w:t xml:space="preserve"> </w:t>
            </w:r>
          </w:p>
        </w:tc>
      </w:tr>
      <w:tr w14:paraId="3BDDD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2CC41D0C">
            <w:pPr>
              <w:rPr>
                <w:rFonts w:hint="eastAsia"/>
                <w:sz w:val="24"/>
                <w:szCs w:val="24"/>
              </w:rPr>
            </w:pPr>
          </w:p>
        </w:tc>
        <w:tc>
          <w:tcPr>
            <w:tcW w:w="2639" w:type="pct"/>
            <w:noWrap w:val="0"/>
            <w:vAlign w:val="center"/>
          </w:tcPr>
          <w:p w14:paraId="6F87E26A">
            <w:pPr>
              <w:rPr>
                <w:rFonts w:hint="eastAsia"/>
                <w:sz w:val="24"/>
                <w:szCs w:val="24"/>
                <w:lang w:val="en-US" w:eastAsia="zh-CN"/>
              </w:rPr>
            </w:pPr>
            <w:r>
              <w:rPr>
                <w:rFonts w:hint="eastAsia"/>
                <w:sz w:val="24"/>
                <w:szCs w:val="24"/>
                <w:lang w:eastAsia="zh-CN"/>
              </w:rPr>
              <w:t>账号</w:t>
            </w:r>
            <w:r>
              <w:rPr>
                <w:rFonts w:hint="eastAsia"/>
                <w:sz w:val="24"/>
                <w:szCs w:val="24"/>
              </w:rPr>
              <w:t>：</w:t>
            </w:r>
            <w:r>
              <w:rPr>
                <w:rFonts w:hint="eastAsia"/>
                <w:sz w:val="24"/>
                <w:szCs w:val="24"/>
                <w:lang w:val="en-US" w:eastAsia="zh-CN"/>
              </w:rPr>
              <w:t xml:space="preserve"> </w:t>
            </w:r>
          </w:p>
        </w:tc>
      </w:tr>
      <w:tr w14:paraId="3E064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0D8B5917">
            <w:pPr>
              <w:rPr>
                <w:rFonts w:hint="eastAsia"/>
                <w:sz w:val="24"/>
                <w:szCs w:val="24"/>
              </w:rPr>
            </w:pPr>
            <w:r>
              <w:rPr>
                <w:rFonts w:hint="eastAsia"/>
                <w:sz w:val="24"/>
                <w:szCs w:val="24"/>
              </w:rPr>
              <w:t>日期：</w:t>
            </w:r>
          </w:p>
        </w:tc>
        <w:tc>
          <w:tcPr>
            <w:tcW w:w="2639" w:type="pct"/>
            <w:noWrap w:val="0"/>
            <w:vAlign w:val="center"/>
          </w:tcPr>
          <w:p w14:paraId="12E6C5A9">
            <w:pPr>
              <w:rPr>
                <w:rFonts w:hint="eastAsia"/>
                <w:sz w:val="24"/>
                <w:szCs w:val="24"/>
              </w:rPr>
            </w:pPr>
            <w:r>
              <w:rPr>
                <w:rFonts w:hint="eastAsia"/>
                <w:sz w:val="24"/>
                <w:szCs w:val="24"/>
              </w:rPr>
              <w:t>日期：</w:t>
            </w:r>
          </w:p>
        </w:tc>
      </w:tr>
    </w:tbl>
    <w:p w14:paraId="7202936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31283"/>
    <w:rsid w:val="324E6A7A"/>
    <w:rsid w:val="4A931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Lines="0" w:afterLines="0" w:line="360" w:lineRule="auto"/>
      <w:jc w:val="center"/>
      <w:outlineLvl w:val="0"/>
    </w:pPr>
    <w:rPr>
      <w:rFonts w:ascii="Times New Roman" w:hAnsi="Times New Roman"/>
      <w:b/>
      <w:bCs/>
      <w:kern w:val="44"/>
      <w:sz w:val="32"/>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2730</Words>
  <Characters>2766</Characters>
  <Lines>0</Lines>
  <Paragraphs>0</Paragraphs>
  <TotalTime>2</TotalTime>
  <ScaleCrop>false</ScaleCrop>
  <LinksUpToDate>false</LinksUpToDate>
  <CharactersWithSpaces>2846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2026-06-30T08:45:00Z</dcterms:created>
  <dc:creator>Administrator</dc:creator>
  <cp:lastModifiedBy>Administrator</cp:lastModifiedBy>
  <dcterms:modified xsi:type="dcterms:W3CDTF">2026-08-20T07:13:50Z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C03100C11FF449D098CA4753DC109A66_11</vt:lpwstr>
  </property>
  <property fmtid="{D5CDD505-2E9C-101B-9397-08002B2CF9AE}" pid="4" name="KSOTemplateDocerSaveRecord">
    <vt:lpwstr>eyJoZGlkIjoiZGU1ZDY4OWVmYjViZDQwODk0MDc0YzQyYmZjYmNjMTcifQ==</vt:lpwstr>
  </property>
</Properties>
</file>