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版本号：HXTC-ZFCG-南郑区-2026060420260604001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2026年度汉中市南郑区汉山街道办人居环境补短板项目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HXTC-ZFCG-南郑区-20260604</w:t>
      </w:r>
      <w:r>
        <w:br/>
      </w:r>
      <w:r>
        <w:br/>
      </w:r>
      <w:r>
        <w:br/>
      </w:r>
    </w:p>
    <w:p>
      <w:pPr>
        <w:pStyle w:val="null3"/>
        <w:jc w:val="center"/>
        <w:outlineLvl w:val="2"/>
      </w:pPr>
      <w:r>
        <w:rPr>
          <w:rFonts w:ascii="仿宋_GB2312" w:hAnsi="仿宋_GB2312" w:cs="仿宋_GB2312" w:eastAsia="仿宋_GB2312"/>
          <w:sz w:val="28"/>
          <w:b/>
        </w:rPr>
        <w:t>汉中市南郑区汉山街道办事处</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汉中市南郑区汉山街道办事处</w:t>
      </w:r>
      <w:r>
        <w:rPr>
          <w:rFonts w:ascii="仿宋_GB2312" w:hAnsi="仿宋_GB2312" w:cs="仿宋_GB2312" w:eastAsia="仿宋_GB2312"/>
        </w:rPr>
        <w:t>委托，拟对</w:t>
      </w:r>
      <w:r>
        <w:rPr>
          <w:rFonts w:ascii="仿宋_GB2312" w:hAnsi="仿宋_GB2312" w:cs="仿宋_GB2312" w:eastAsia="仿宋_GB2312"/>
        </w:rPr>
        <w:t>2026年度汉中市南郑区汉山街道办人居环境补短板项目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HXTC-ZFCG-南郑区-20260604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2026年度汉中市南郑区汉山街道办人居环境补短板项目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汉中市南郑区汉山街道办人居环境补短板项目，1项，主要工程内容包含：汉山广场西北路边护坡、汉山广场西侧东干渠（汉山街道）、汉山植物园西入口（汉山街道）、岳树岭村田园装置、垃圾收集点等几处园路及绿化工程；嵌草砖路面、花岗石台阶面层、渠道清理、碎石路面及圆木收边施工、互动装置制作安装、成品垃圾处理点及配套绿化项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采购包1（2026年度汉中市南郑区汉山街道办人居环境补短板项目）：属于专门面向中小企业采购。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供应商须具备建设行政主管部门核发的[市政公用工程施工总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具有履行合同所必须的设备和专业技术能力：供应商须具备建设行政主管部门核发的[市政公用工程施工总承包]三级（含三级）及以上资质等级，且具有有效的安全生产许可证并在有效期内，供应商需在本项目电子化交易系统中按要求上传相关证明文件并签章；</w:t>
      </w:r>
    </w:p>
    <w:p>
      <w:pPr>
        <w:pStyle w:val="null3"/>
      </w:pPr>
      <w:r>
        <w:rPr>
          <w:rFonts w:ascii="仿宋_GB2312" w:hAnsi="仿宋_GB2312" w:cs="仿宋_GB2312" w:eastAsia="仿宋_GB2312"/>
        </w:rPr>
        <w:t>3、拟派项目负责人执业资格和专业要求：拟派项目负责人须具备[市政公用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拟派项目负责人执业资格和专业要求：拟派项目负责人须具备[市政公用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供应商按规定缴纳了磋商保证金或提供磋商担保函【注：提供加盖公章的复印件。供应商需在本项目电子化交易系统中按要求上传相关证明文件并电子签章】：按规定缴纳了磋商保证金或提供磋商担保函看，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汉中市南郑区汉山街道办事处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汉中市南郑区汉山街道办南一环十字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汉中市南郑区汉山街道办事处经办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陕西省汉中市汉台区将坛西路南侧35号颐馨园小区东单元十一楼1101室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说明：具体内容甲乙双方合同内约定。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汉中市南郑区汉山街道办事处</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汉中市南郑区汉山街道办事处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汉中市南郑区汉山街道办事处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地址：陕西省汉中市汉台区将坛西路南侧35号颐馨园小区东单元十一楼1101室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1,029,043.52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2026年度汉中市南郑区汉山街道办人居环境补短板项目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标的名称：2026年度汉中市南郑区汉山街道办人居环境补短板项目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1、工程概况</w:t>
            </w:r>
            <w:r>
              <w:rPr>
                <w:rFonts w:ascii="仿宋_GB2312" w:hAnsi="仿宋_GB2312" w:cs="仿宋_GB2312" w:eastAsia="仿宋_GB2312"/>
                <w:sz w:val="24"/>
              </w:rPr>
              <w:t>：</w:t>
            </w:r>
            <w:r>
              <w:rPr>
                <w:rFonts w:ascii="仿宋_GB2312" w:hAnsi="仿宋_GB2312" w:cs="仿宋_GB2312" w:eastAsia="仿宋_GB2312"/>
                <w:sz w:val="24"/>
              </w:rPr>
              <w:t>2026年度汉中市南郑区汉山街道办人居环境补短板项目，1项，主要工程内容包含：汉山广场西北路边护坡、汉山广场西侧东干渠（汉山街道）、汉山植物园西入口（汉山街道）、岳树岭村田园装置、垃圾收集点等几处园路及绿化工程；嵌草砖路面、花岗石台阶面层、渠道清理、碎石路面及圆木收边施工、互动装置制作安装、成品垃圾处理点及配套绿化项目等（具体内容详见本项目施工图纸及工程量清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2、施工范围：本项目施工图纸、设计文件及工程量清单范围内全部工程内容。</w:t>
            </w:r>
          </w:p>
          <w:p>
            <w:pPr>
              <w:pStyle w:val="null3"/>
              <w:jc w:val="left"/>
            </w:pPr>
            <w:r>
              <w:rPr>
                <w:rFonts w:ascii="仿宋_GB2312" w:hAnsi="仿宋_GB2312" w:cs="仿宋_GB2312" w:eastAsia="仿宋_GB2312"/>
                <w:sz w:val="24"/>
              </w:rPr>
              <w:t>3、施工地点</w:t>
            </w:r>
            <w:r>
              <w:rPr>
                <w:rFonts w:ascii="仿宋_GB2312" w:hAnsi="仿宋_GB2312" w:cs="仿宋_GB2312" w:eastAsia="仿宋_GB2312"/>
                <w:sz w:val="24"/>
              </w:rPr>
              <w:t>：位于</w:t>
            </w:r>
            <w:r>
              <w:rPr>
                <w:rFonts w:ascii="仿宋_GB2312" w:hAnsi="仿宋_GB2312" w:cs="仿宋_GB2312" w:eastAsia="仿宋_GB2312"/>
                <w:sz w:val="24"/>
              </w:rPr>
              <w:t>汉中市</w:t>
            </w:r>
            <w:r>
              <w:rPr>
                <w:rFonts w:ascii="仿宋_GB2312" w:hAnsi="仿宋_GB2312" w:cs="仿宋_GB2312" w:eastAsia="仿宋_GB2312"/>
                <w:sz w:val="24"/>
              </w:rPr>
              <w:t>南郑区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计划工期</w:t>
            </w:r>
            <w:r>
              <w:rPr>
                <w:rFonts w:ascii="仿宋_GB2312" w:hAnsi="仿宋_GB2312" w:cs="仿宋_GB2312" w:eastAsia="仿宋_GB2312"/>
                <w:sz w:val="24"/>
              </w:rPr>
              <w:t>（合同履行期限）：合同签订后</w:t>
            </w:r>
            <w:r>
              <w:rPr>
                <w:rFonts w:ascii="仿宋_GB2312" w:hAnsi="仿宋_GB2312" w:cs="仿宋_GB2312" w:eastAsia="仿宋_GB2312"/>
                <w:sz w:val="24"/>
              </w:rPr>
              <w:t>60日历天（具体服务起止日期可随合同签订时间相应顺延）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工程质量</w:t>
            </w:r>
            <w:r>
              <w:rPr>
                <w:rFonts w:ascii="仿宋_GB2312" w:hAnsi="仿宋_GB2312" w:cs="仿宋_GB2312" w:eastAsia="仿宋_GB2312"/>
                <w:sz w:val="24"/>
              </w:rPr>
              <w:t>要求</w:t>
            </w:r>
            <w:r>
              <w:rPr>
                <w:rFonts w:ascii="仿宋_GB2312" w:hAnsi="仿宋_GB2312" w:cs="仿宋_GB2312" w:eastAsia="仿宋_GB2312"/>
                <w:sz w:val="24"/>
              </w:rPr>
              <w:t>：交工验收的质量评定：合格；竣工验收的质量评定：合格</w:t>
            </w:r>
            <w:r>
              <w:rPr>
                <w:rFonts w:ascii="仿宋_GB2312" w:hAnsi="仿宋_GB2312" w:cs="仿宋_GB2312" w:eastAsia="仿宋_GB2312"/>
                <w:sz w:val="24"/>
              </w:rPr>
              <w:t>；</w:t>
            </w:r>
            <w:r>
              <w:rPr>
                <w:rFonts w:ascii="仿宋_GB2312" w:hAnsi="仿宋_GB2312" w:cs="仿宋_GB2312" w:eastAsia="仿宋_GB2312"/>
                <w:sz w:val="24"/>
              </w:rPr>
              <w:t>质量达到</w:t>
            </w:r>
            <w:r>
              <w:rPr>
                <w:rFonts w:ascii="仿宋_GB2312" w:hAnsi="仿宋_GB2312" w:cs="仿宋_GB2312" w:eastAsia="仿宋_GB2312"/>
                <w:sz w:val="24"/>
              </w:rPr>
              <w:t>建筑工程</w:t>
            </w:r>
            <w:r>
              <w:rPr>
                <w:rFonts w:ascii="仿宋_GB2312" w:hAnsi="仿宋_GB2312" w:cs="仿宋_GB2312" w:eastAsia="仿宋_GB2312"/>
                <w:sz w:val="24"/>
              </w:rPr>
              <w:t>合格标准，并满足国家相关标准、规范及有关技术文件要求。</w:t>
            </w:r>
          </w:p>
          <w:p>
            <w:pPr>
              <w:pStyle w:val="null3"/>
              <w:jc w:val="left"/>
            </w:pPr>
            <w:r>
              <w:rPr>
                <w:rFonts w:ascii="仿宋_GB2312" w:hAnsi="仿宋_GB2312" w:cs="仿宋_GB2312" w:eastAsia="仿宋_GB2312"/>
                <w:sz w:val="24"/>
              </w:rPr>
              <w:t>6、安全目标：无安全责任事故发生。</w:t>
            </w:r>
          </w:p>
          <w:p>
            <w:pPr>
              <w:pStyle w:val="null3"/>
              <w:jc w:val="left"/>
            </w:pPr>
            <w:r>
              <w:rPr>
                <w:rFonts w:ascii="仿宋_GB2312" w:hAnsi="仿宋_GB2312" w:cs="仿宋_GB2312" w:eastAsia="仿宋_GB2312"/>
                <w:sz w:val="24"/>
              </w:rPr>
              <w:t>7、工程</w:t>
            </w:r>
            <w:r>
              <w:rPr>
                <w:rFonts w:ascii="仿宋_GB2312" w:hAnsi="仿宋_GB2312" w:cs="仿宋_GB2312" w:eastAsia="仿宋_GB2312"/>
                <w:sz w:val="24"/>
              </w:rPr>
              <w:t>质量保修期：</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（自工程竣工初验合格之日起计算，</w:t>
            </w:r>
            <w:r>
              <w:rPr>
                <w:rFonts w:ascii="仿宋_GB2312" w:hAnsi="仿宋_GB2312" w:cs="仿宋_GB2312" w:eastAsia="仿宋_GB2312"/>
                <w:sz w:val="24"/>
              </w:rPr>
              <w:t>若该质量</w:t>
            </w:r>
            <w:r>
              <w:rPr>
                <w:rFonts w:ascii="仿宋_GB2312" w:hAnsi="仿宋_GB2312" w:cs="仿宋_GB2312" w:eastAsia="仿宋_GB2312"/>
                <w:sz w:val="24"/>
              </w:rPr>
              <w:t>保修期</w:t>
            </w:r>
            <w:r>
              <w:rPr>
                <w:rFonts w:ascii="仿宋_GB2312" w:hAnsi="仿宋_GB2312" w:cs="仿宋_GB2312" w:eastAsia="仿宋_GB2312"/>
                <w:sz w:val="24"/>
              </w:rPr>
              <w:t>小于国家标准，则以国家</w:t>
            </w:r>
            <w:r>
              <w:rPr>
                <w:rFonts w:ascii="仿宋_GB2312" w:hAnsi="仿宋_GB2312" w:cs="仿宋_GB2312" w:eastAsia="仿宋_GB2312"/>
                <w:sz w:val="24"/>
              </w:rPr>
              <w:t>最新</w:t>
            </w:r>
            <w:r>
              <w:rPr>
                <w:rFonts w:ascii="仿宋_GB2312" w:hAnsi="仿宋_GB2312" w:cs="仿宋_GB2312" w:eastAsia="仿宋_GB2312"/>
                <w:sz w:val="24"/>
              </w:rPr>
              <w:t>标准为准</w:t>
            </w:r>
            <w:r>
              <w:rPr>
                <w:rFonts w:ascii="仿宋_GB2312" w:hAnsi="仿宋_GB2312" w:cs="仿宋_GB2312" w:eastAsia="仿宋_GB2312"/>
                <w:sz w:val="24"/>
              </w:rPr>
              <w:t>）。</w:t>
            </w:r>
          </w:p>
          <w:p>
            <w:pPr>
              <w:pStyle w:val="null3"/>
            </w:pPr>
            <w:r>
              <w:rPr>
                <w:rFonts w:ascii="仿宋_GB2312" w:hAnsi="仿宋_GB2312" w:cs="仿宋_GB2312" w:eastAsia="仿宋_GB2312"/>
                <w:sz w:val="24"/>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交工验收的质量评定：合格；竣工验收的质量评定：合格；质量达到建筑工程合格标准，并满足国家相关标准、规范及有关技术文件要求。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1.本项目工程概述： 该工程为2026年度汉中市南郑区汉山街道办人居环境补短板项目，主要内容包括：汉山广场西北路边护坡、汉山广场西侧东干渠（汉山街道）、汉山植物园西入口（汉山街道）、岳树岭村田园装置、垃圾收集点等几处园路及绿化工程；嵌草砖路面、花岗石台阶面层、渠道清理、碎石路面及圆木收边施工、互动装置制作安装、成品垃圾处理点及配套绿化项目等。 2.编制依据： （1）2025《陕西省建筑工程工程量清单计价规则》。 （2）2026年度汉中市南郑区汉山街道办人居环境补短板项目图纸、招标文件等； （3）按《陕西省建设工程工程量清单计价计算标准(2025)》《陕西省房屋建筑与装饰工程基价表（2025）》《陕西省基价表说明(2025)》、陕建管发〔2025〕10号《陕西省住房和城乡建设厅关于印发2025陕西省建设工程费用规则等计价依据的通知》。 3.有关问题说明： （1）原有植物修理运距5km计算； （2）渠道清理宽度暂按2.7m，厚度0.55m，结算按实调整； （3）成品垃圾处理点暂定综合单价13200.00元/套。 4.本工程量清单编制软件采用：广联达GBQ7.0 7.5000.23.3。 5.磋商报价要求：（1）本项目设有最高限价，最高限价经财政评审后，金额：¥1,029,043.52元（大写：壹佰零贰万玖仟零肆拾叁元伍角贰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 6.其他：（1）本采购项目的材料、设备、施工须达到所涉及到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1.项目名称：2026年度汉中市南郑区汉山街道办人居环境补短板项目； 2.为顺利推进政府采购电子化交易平台应用工作，供应商务必在开标截止时间30分钟前，通过项目电子化交易系统进行签到，如未进行签到，产生的一切后果由供应商自行承担。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市政公用工程施工总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市政公用工程施工总承包]三级（含三级）及以上资质等级，且具有有效的安全生产许可证并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执业资格和专业要求：拟派项目负责人须具备[市政公用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拟派项目负责人执业资格和专业要求：拟派项目负责人须具备[市政公用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按规定缴纳了磋商保证金或提供磋商担保函看，供应商需在本项目电子化交易系统中按要求上传相关证明文件并签章。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4.0分；未提供不得分。2、针对性：根据供应商响应程度，此项最高得4.0分；未提供不得分。3、可实施性：根据供应商响应程度，此项最高得4.0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附件1：综合评分明细表：①施工方案.docx</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1、完整性：（1）完整性强：方案内容全面、系统，涵盖项目的所有关键环节和工作任务，无遗漏，且各部分逻辑衔接紧密；（2）较完整：方案结构基本完整，覆盖项目的主要环节和工作内容，仅缺少少量非关键性细节；（3）完整性一般：计划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附有劳动力配置投入曲线图、投入设备清单及材料供应进场验收计划，根据供应商响应程度，此项最高得2.0分；未提供不得分。2、针对性：根据供应商响应程度，此项最高得2.0分；未提供不得分。3、可实施性：根据供应商响应程度，此项最高得2.0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附件2：综合评分明细表：②资源配置计划.docx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一、评审内容：供应商针对项目编制完善的施工进度计划，内容包含：①施工进度计划横道图或网络图，关键线路清晰；②进度计划保证措施；③工期保证措施。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附件3：综合评分明细表：③施工进度计划.docx</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：①质量目标管理体系；②施工质量的检验制度；③确保质量的技术组织措施。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附件4：综合评分明细表：④质量保证措施.docx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附件5：综合评分明细表：⑤安全文明施工措施.docx</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一、评审内容：供应商针对项目编制科学的项目管理机构，内容包含：①管理机构的配备计划及管理人员证书；②组织机构的岗位职责及管理制度。 二、评审标准：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附件6：综合评分明细表：⑥项目管理机构.docx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项目编制完善的绿色施工与可持续发展措施方案，体现环保、节能、节材理念，特别关注园路及绿化工程、配套设施工程的特殊要求，包含：①环境保护与降尘降噪：制定的专项降尘、降噪、防异味等措施；②资源节约与循环利用：在施工过程中对水、电、建筑材料等的节约与循环利用方案；③场地复原及周边生态保护：施工结束后对场地的清理、复原及周边生态保护承诺。 二、评审标准：1、完整性：（1）完整性强：措施方案内容全面、系统，涵盖项目的所有关键环节和工作任务，无遗漏，且各部分逻辑衔接紧密；（2）较完整：方案结构基本完整，覆盖项目的主要环节和工作内容，仅缺少少量非关键性细节；（3）完整性一般：计划对大部分环节有涉及，但存在若干重要环节或必要内容缺失，影响整体实施；（4）缺乏完整性：方案缺失多个关键环节或核心内容，无法支撑项目顺利推进，存在明显不完善之处。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3、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措施内容完整全面，对评审内容有描述及说明，根据供应商响应程度，此项最高得2.0分；未提供不得分。2、针对性：根据供应商响应程度，此项最高得2.0分；未提供不得分。3、可实施性：根据供应商响应程度，此项最高得2.0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附件7：综合评分明细表：⑦绿色施工与可持续发展措施.docx</w:t>
            </w:r>
          </w:p>
        </w:tc>
      </w:tr>
      <w:tr>
        <w:tc>
          <w:tcPr>
            <w:tcW w:type="dxa" w:w="831"/>
            <w:vMerge/>
          </w:tcPr>
          <w:p/>
        </w:tc>
        <w:tc>
          <w:tcPr>
            <w:tcW w:type="dxa" w:w="1661"/>
          </w:tcPr>
          <w:p>
            <w:pPr>
              <w:pStyle w:val="null3"/>
            </w:pPr>
            <w:r>
              <w:rPr>
                <w:rFonts w:ascii="仿宋_GB2312" w:hAnsi="仿宋_GB2312" w:cs="仿宋_GB2312" w:eastAsia="仿宋_GB2312"/>
              </w:rPr>
              <w:t>⑧服务承诺；</w:t>
            </w:r>
          </w:p>
        </w:tc>
        <w:tc>
          <w:tcPr>
            <w:tcW w:type="dxa" w:w="2492"/>
          </w:tcPr>
          <w:p>
            <w:pPr>
              <w:pStyle w:val="null3"/>
            </w:pPr>
            <w:r>
              <w:rPr>
                <w:rFonts w:ascii="仿宋_GB2312" w:hAnsi="仿宋_GB2312" w:cs="仿宋_GB2312" w:eastAsia="仿宋_GB2312"/>
              </w:rPr>
              <w:t>一、评审内容：供应商针对本项目编制完善的服务承诺，内容包含但不限于：①实质性服务承诺：配合项目涉及的工程施工内容，施工期间不影响周边村民正常生活通行（如合理规划施工时段、设置临时通行便道、避免噪音/扬尘扰民等），工程售后保障（如质保期内维修响应、缺陷责任期服务、质保期外优惠服务等）；②质保承诺：提供明确的质保期（≥2年）的专项保障措施。 二、评审标准：1、完整性：（1）完整性强：内容全面、系统，涵盖本项目的所有关键环节和工作任务，无遗漏，且各部分逻辑衔接紧密；（2）较完整：内容结构基本完整，覆盖项目的主要环节和工作内容，仅缺少少量非关键性细节；（3）完整性一般：内容对大部分关键环节有涉及，但存在若干重要环节或必要内容缺失（如未明确施工期间村民通行保障措施、质保期巡检频率不清晰），影响整体实施；（4）缺乏完整性：内容缺失多个关键环节或核心内容（如未提供质保承诺、施工期间扰民控制措施），无法支撑项目顺利推进，存在明显不完善之处。2、针对性：（1）针对性强：内容能够完全切合本项目的实际情况；（2）具有一定的针对性：内容结构基本完整，对项目关键环节及服务要求针对性较强；（3）针对性一般：内容中多数内容能够切合项目实际情况，但存在至少一处不适用项目实际的内容；（4）缺乏针对性：内容描述不符合项目实际情况，存在明显套用其他项目方案的内容。3、可实施性：（1）可实施性强：内容工作流程完善，实施步骤清晰，科学合理，可实施性强；（2）具有一定的可实施性：内容工作流程基本完善，能切合项目实际情况，可实施性较强 ；（3）可实施性一般：内容中存在至少一处表述模糊、难以执行或不够科学合理的内容；（4）缺乏可实施性：内容内容空洞，工作流程不完善，实施标准、实施质量不利于采购需求的实现，存在逻辑漏洞、常识错误或合理性差。 三、赋分标准：1、完整性：内容完整全面，对评审内容有描述及说明，根据供应商响应程度，此项最高得2.0分；未提供不得分。2、针对性：根据供应商响应程度，此项最高得2.0分；未提供不得分。3、可实施性：根据供应商响应程度，此项最高得2.0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附件8：综合评分明细表：⑧服务承诺.docx</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1分，此项最高得4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附件9：综合评分明细表：⑨类似业绩.docx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4.磋商报价不完整的,不进入评标标准价的计算,项得0分。 5.不正当竞争预防措施：在评审过程中,磋商小组认定有可能影响产品质量或者不能诚信履约的,磋商小组应当要求其在评审现场合理的时间内提供成本构成书面说明,并提交相关证明材料。磋商单位书面说明应当按照国家财务会计制度的规定要求,逐项就投标单位提供的货物、工程和服务的主营业务成本（应根据投标单位企业类型予以区别）、税金及附加、销售费用、管理费用、财务费用等成本构成事项详细陈述。 磋商单位书面说明应当签字确认或者加盖公章,否则无效。书面说明的签字确认,磋商单位为法人的,由其法定代表人或者代理人签字确认;磋商单位为其他组织的,由其主要负责人或者代理人签字确认；磋商单位为自然人的,由其本人或者代理人签字确认。 磋商单位提供书面说明后,磋商小组应当结合采购项目需求、专业实际情况、磋商单位财务状况报告、与其他磋商单位比较情况等就磋商单位书面说明进行审查评价。磋商单位拒绝或者变相拒绝提供有效书面说明或者书面说明不能证明其报价合理性的,磋商小组应当将其响应文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详见附件：附件1：综合评分明细表：①施工方案.docx</w:t>
      </w:r>
    </w:p>
    <w:p>
      <w:pPr>
        <w:pStyle w:val="null3"/>
        <w:ind w:firstLine="960"/>
      </w:pPr>
      <w:r>
        <w:rPr>
          <w:rFonts w:ascii="仿宋_GB2312" w:hAnsi="仿宋_GB2312" w:cs="仿宋_GB2312" w:eastAsia="仿宋_GB2312"/>
        </w:rPr>
        <w:t>详见附件：附件2：综合评分明细表：②资源配置计划.docx</w:t>
      </w:r>
    </w:p>
    <w:p>
      <w:pPr>
        <w:pStyle w:val="null3"/>
        <w:ind w:firstLine="960"/>
      </w:pPr>
      <w:r>
        <w:rPr>
          <w:rFonts w:ascii="仿宋_GB2312" w:hAnsi="仿宋_GB2312" w:cs="仿宋_GB2312" w:eastAsia="仿宋_GB2312"/>
        </w:rPr>
        <w:t>详见附件：附件3：综合评分明细表：③施工进度计划.docx</w:t>
      </w:r>
    </w:p>
    <w:p>
      <w:pPr>
        <w:pStyle w:val="null3"/>
        <w:ind w:firstLine="960"/>
      </w:pPr>
      <w:r>
        <w:rPr>
          <w:rFonts w:ascii="仿宋_GB2312" w:hAnsi="仿宋_GB2312" w:cs="仿宋_GB2312" w:eastAsia="仿宋_GB2312"/>
        </w:rPr>
        <w:t>详见附件：附件4：综合评分明细表：④质量保证措施.docx</w:t>
      </w:r>
    </w:p>
    <w:p>
      <w:pPr>
        <w:pStyle w:val="null3"/>
        <w:ind w:firstLine="960"/>
      </w:pPr>
      <w:r>
        <w:rPr>
          <w:rFonts w:ascii="仿宋_GB2312" w:hAnsi="仿宋_GB2312" w:cs="仿宋_GB2312" w:eastAsia="仿宋_GB2312"/>
        </w:rPr>
        <w:t>详见附件：附件5：综合评分明细表：⑤安全文明施工措施.docx</w:t>
      </w:r>
    </w:p>
    <w:p>
      <w:pPr>
        <w:pStyle w:val="null3"/>
        <w:ind w:firstLine="960"/>
      </w:pPr>
      <w:r>
        <w:rPr>
          <w:rFonts w:ascii="仿宋_GB2312" w:hAnsi="仿宋_GB2312" w:cs="仿宋_GB2312" w:eastAsia="仿宋_GB2312"/>
        </w:rPr>
        <w:t>详见附件：附件6：综合评分明细表：⑥项目管理机构.docx</w:t>
      </w:r>
    </w:p>
    <w:p>
      <w:pPr>
        <w:pStyle w:val="null3"/>
        <w:ind w:firstLine="960"/>
      </w:pPr>
      <w:r>
        <w:rPr>
          <w:rFonts w:ascii="仿宋_GB2312" w:hAnsi="仿宋_GB2312" w:cs="仿宋_GB2312" w:eastAsia="仿宋_GB2312"/>
        </w:rPr>
        <w:t>详见附件：附件7：综合评分明细表：⑦绿色施工与可持续发展措施.docx</w:t>
      </w:r>
    </w:p>
    <w:p>
      <w:pPr>
        <w:pStyle w:val="null3"/>
        <w:ind w:firstLine="960"/>
      </w:pPr>
      <w:r>
        <w:rPr>
          <w:rFonts w:ascii="仿宋_GB2312" w:hAnsi="仿宋_GB2312" w:cs="仿宋_GB2312" w:eastAsia="仿宋_GB2312"/>
        </w:rPr>
        <w:t>详见附件：附件8：综合评分明细表：⑧服务承诺.docx</w:t>
      </w:r>
    </w:p>
    <w:p>
      <w:pPr>
        <w:pStyle w:val="null3"/>
        <w:ind w:firstLine="960"/>
      </w:pPr>
      <w:r>
        <w:rPr>
          <w:rFonts w:ascii="仿宋_GB2312" w:hAnsi="仿宋_GB2312" w:cs="仿宋_GB2312" w:eastAsia="仿宋_GB2312"/>
        </w:rPr>
        <w:t>详见附件：附件9：综合评分明细表：⑨类似业绩.docx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