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版本号：RH采字【20260814】号20260831002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2026年度蒲城县龙阳镇南湾村西甜瓜产业园区生产配套设施项目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RH采字【20260814】号</w:t>
      </w:r>
      <w:r>
        <w:br/>
      </w:r>
      <w:r>
        <w:br/>
      </w:r>
      <w:r>
        <w:br/>
      </w:r>
    </w:p>
    <w:p>
      <w:pPr>
        <w:pStyle w:val="null3"/>
        <w:jc w:val="center"/>
        <w:outlineLvl w:val="2"/>
      </w:pPr>
      <w:r>
        <w:rPr>
          <w:rFonts w:ascii="仿宋_GB2312" w:hAnsi="仿宋_GB2312" w:cs="仿宋_GB2312" w:eastAsia="仿宋_GB2312"/>
          <w:sz w:val="28"/>
          <w:b/>
        </w:rPr>
        <w:t>蒲城县龙阳镇人民政府</w:t>
      </w:r>
    </w:p>
    <w:p>
      <w:pPr>
        <w:pStyle w:val="null3"/>
        <w:jc w:val="center"/>
        <w:outlineLvl w:val="2"/>
      </w:pPr>
      <w:r>
        <w:rPr>
          <w:rFonts w:ascii="仿宋_GB2312" w:hAnsi="仿宋_GB2312" w:cs="仿宋_GB2312" w:eastAsia="仿宋_GB2312"/>
          <w:sz w:val="28"/>
          <w:b/>
        </w:rPr>
        <w:t>瑞恒项目管理有限公司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瑞恒项目管理有限公司</w:t>
      </w:r>
      <w:r>
        <w:rPr>
          <w:rFonts w:ascii="仿宋_GB2312" w:hAnsi="仿宋_GB2312" w:cs="仿宋_GB2312" w:eastAsia="仿宋_GB2312"/>
        </w:rPr>
        <w:t>（以下简称“代理机构”）受</w:t>
      </w:r>
      <w:r>
        <w:rPr>
          <w:rFonts w:ascii="仿宋_GB2312" w:hAnsi="仿宋_GB2312" w:cs="仿宋_GB2312" w:eastAsia="仿宋_GB2312"/>
        </w:rPr>
        <w:t>蒲城县龙阳镇人民政府</w:t>
      </w:r>
      <w:r>
        <w:rPr>
          <w:rFonts w:ascii="仿宋_GB2312" w:hAnsi="仿宋_GB2312" w:cs="仿宋_GB2312" w:eastAsia="仿宋_GB2312"/>
        </w:rPr>
        <w:t>委托，拟对</w:t>
      </w:r>
      <w:r>
        <w:rPr>
          <w:rFonts w:ascii="仿宋_GB2312" w:hAnsi="仿宋_GB2312" w:cs="仿宋_GB2312" w:eastAsia="仿宋_GB2312"/>
        </w:rPr>
        <w:t>2026年度蒲城县龙阳镇南湾村西甜瓜产业园区生产配套设施项目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RH采字【20260814】号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2026年度蒲城县龙阳镇南湾村西甜瓜产业园区生产配套设施项目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西甜瓜产业园区道路长1600米宽4米6400平方米厚18公分、水泥混凝土路面。</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采购包1（2026年度蒲城县龙阳镇南湾村西甜瓜产业园区生产配套设施项目）：属于专门面向中小企业采购。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具有良好的商业信誉和健全的财务会计制度：法人提供经审计的2025年度财务报告（成立时间至响应文件递交截止时间不足一年的可提供成立后任意时段的资产负债表）或响应文件递交截止时间前六个月内银行出具的资信证明；其他组织和自然人提供银行出具的资信证明或财务报表。注：①提供财务报告的，内容至少包括审计报告、附注。根据《财政部关于注册会计师行业统一监管平台上线运行的通知》财办〔2022〕32号文件要求，审计报告须有清晰可扫描查询的二维码（注册会计师行业统一监管平台网址：acc.mof.gov.cn），若审计报告未赋码视为无效。②提供资信证明的，必须提供资信证明全部页以及基本户信息（提供开户许可证或提供基本银行账户信息），银行出具的存款证明不能代替资信证明，存款证明无效。</w:t>
      </w:r>
    </w:p>
    <w:p>
      <w:pPr>
        <w:pStyle w:val="null3"/>
      </w:pPr>
      <w:r>
        <w:rPr>
          <w:rFonts w:ascii="仿宋_GB2312" w:hAnsi="仿宋_GB2312" w:cs="仿宋_GB2312" w:eastAsia="仿宋_GB2312"/>
        </w:rPr>
        <w:t>3、有依法缴纳税收的良好记录：法人提供响应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p>
    <w:p>
      <w:pPr>
        <w:pStyle w:val="null3"/>
      </w:pPr>
      <w:r>
        <w:rPr>
          <w:rFonts w:ascii="仿宋_GB2312" w:hAnsi="仿宋_GB2312" w:cs="仿宋_GB2312" w:eastAsia="仿宋_GB2312"/>
        </w:rPr>
        <w:t>4、有依法缴纳社会保障资金的良好记录：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7、信用承诺：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p>
      <w:pPr>
        <w:pStyle w:val="null3"/>
      </w:pPr>
      <w:r>
        <w:rPr>
          <w:rFonts w:ascii="仿宋_GB2312" w:hAnsi="仿宋_GB2312" w:cs="仿宋_GB2312" w:eastAsia="仿宋_GB2312"/>
        </w:rPr>
        <w:t>8、供应商资质：供应商具备建设行政主管部门颁发的市政公用工程施工总承包三级及以上（含三级）资质，并具有有效的安全生产许可证（提供证书或证件）</w:t>
      </w:r>
    </w:p>
    <w:p>
      <w:pPr>
        <w:pStyle w:val="null3"/>
      </w:pPr>
      <w:r>
        <w:rPr>
          <w:rFonts w:ascii="仿宋_GB2312" w:hAnsi="仿宋_GB2312" w:cs="仿宋_GB2312" w:eastAsia="仿宋_GB2312"/>
        </w:rPr>
        <w:t>9、拟派项目经理资格和专业：供应商拟派项目经理须具备市政公用工程注册建造师二级及以上（含二级）注册建造师执业资格及有效的安全生产考核合格证（建安B证），在本单位注册（提供证书或证件），未担任其它在施建设工程的项目经理（提供承诺）。</w:t>
      </w:r>
    </w:p>
    <w:p>
      <w:pPr>
        <w:pStyle w:val="null3"/>
      </w:pPr>
      <w:r>
        <w:rPr>
          <w:rFonts w:ascii="仿宋_GB2312" w:hAnsi="仿宋_GB2312" w:cs="仿宋_GB2312" w:eastAsia="仿宋_GB2312"/>
        </w:rPr>
        <w:t>10、供应商及拟派项目经理基本信息：供应商及拟派项目经理基本信息须在“陕西省住房和城乡建设厅网”网站（js.shaanxi.gov.cn）可查询（提供承诺）。</w:t>
      </w:r>
    </w:p>
    <w:p>
      <w:pPr>
        <w:pStyle w:val="null3"/>
      </w:pPr>
      <w:r>
        <w:rPr>
          <w:rFonts w:ascii="仿宋_GB2312" w:hAnsi="仿宋_GB2312" w:cs="仿宋_GB2312" w:eastAsia="仿宋_GB2312"/>
        </w:rPr>
        <w:t>11、直接控股控股、管理关系：单位负责人为同一人或者存在直接控股、管理关系的不同供应商，不得同时参与本采购项目响应（提供直接控股和管理关系清单）。</w:t>
      </w:r>
    </w:p>
    <w:p>
      <w:pPr>
        <w:pStyle w:val="null3"/>
      </w:pPr>
      <w:r>
        <w:rPr>
          <w:rFonts w:ascii="仿宋_GB2312" w:hAnsi="仿宋_GB2312" w:cs="仿宋_GB2312" w:eastAsia="仿宋_GB2312"/>
        </w:rPr>
        <w:t>12、其他：为本项目提供整体设计、规范编制或者项目管理、监理、检测等服务的供应商，不得再参与本项目响应（提供承诺）。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蒲城县龙阳镇人民政府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蒲城县蔡龙路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姚康秦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19279136637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瑞恒项目管理有限公司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陕西省西安市曲江新区雁翔路3269号旺座曲江D座30层3001号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石雨鑫、刘菲、张丰利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029-89550806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13892323567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采购包1：960,000.00元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代理服务费收费标准：参照原计价格[2002]1980号文件、发改价格[2011]534号文件的规定，以中标价为基数,计取代理服务费。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蒲城县龙阳镇人民政府</w:t>
      </w:r>
      <w:r>
        <w:rPr>
          <w:rFonts w:ascii="仿宋_GB2312" w:hAnsi="仿宋_GB2312" w:cs="仿宋_GB2312" w:eastAsia="仿宋_GB2312"/>
        </w:rPr>
        <w:t>和</w:t>
      </w:r>
      <w:r>
        <w:rPr>
          <w:rFonts w:ascii="仿宋_GB2312" w:hAnsi="仿宋_GB2312" w:cs="仿宋_GB2312" w:eastAsia="仿宋_GB2312"/>
        </w:rPr>
        <w:t>瑞恒项目管理有限公司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蒲城县龙阳镇人民政府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瑞恒项目管理有限公司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蒲城县龙阳镇人民政府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瑞恒项目管理有限公司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不涉及</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按采购文件和采购合同执行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联系人：招标部</w:t>
      </w:r>
    </w:p>
    <w:p>
      <w:pPr>
        <w:pStyle w:val="null3"/>
      </w:pPr>
      <w:r>
        <w:rPr>
          <w:rFonts w:ascii="仿宋_GB2312" w:hAnsi="仿宋_GB2312" w:cs="仿宋_GB2312" w:eastAsia="仿宋_GB2312"/>
        </w:rPr>
        <w:t>联系电话：029-89550806</w:t>
      </w:r>
    </w:p>
    <w:p>
      <w:pPr>
        <w:pStyle w:val="null3"/>
      </w:pPr>
      <w:r>
        <w:rPr>
          <w:rFonts w:ascii="仿宋_GB2312" w:hAnsi="仿宋_GB2312" w:cs="仿宋_GB2312" w:eastAsia="仿宋_GB2312"/>
        </w:rPr>
        <w:t>地址：陕西省西安市曲江新区雁翔路3269号旺座曲江D座30层3001号</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960,000.00</w:t>
      </w:r>
    </w:p>
    <w:p>
      <w:pPr>
        <w:pStyle w:val="null3"/>
      </w:pPr>
      <w:r>
        <w:rPr>
          <w:rFonts w:ascii="仿宋_GB2312" w:hAnsi="仿宋_GB2312" w:cs="仿宋_GB2312" w:eastAsia="仿宋_GB2312"/>
        </w:rPr>
        <w:t>采购包最高限价（元）: 957,133.48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2026年度蒲城县龙阳镇南湾村西甜瓜产业园区生产配套设施项目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960,000.00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标的名称：2026年度蒲城县龙阳镇南湾村西甜瓜产业园区生产配套设施项目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b/>
              </w:rPr>
              <w:t>工程概况：</w:t>
            </w:r>
            <w:r>
              <w:rPr>
                <w:rFonts w:ascii="仿宋_GB2312" w:hAnsi="仿宋_GB2312" w:cs="仿宋_GB2312" w:eastAsia="仿宋_GB2312"/>
                <w:sz w:val="28"/>
              </w:rPr>
              <w:t>西甜瓜产业园区道路长</w:t>
            </w:r>
            <w:r>
              <w:rPr>
                <w:rFonts w:ascii="仿宋_GB2312" w:hAnsi="仿宋_GB2312" w:cs="仿宋_GB2312" w:eastAsia="仿宋_GB2312"/>
                <w:sz w:val="28"/>
              </w:rPr>
              <w:t>1600米宽4米6400平方米厚18公分、水泥混凝土路面。</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8"/>
                <w:b/>
              </w:rPr>
              <w:t>招标范围</w:t>
            </w:r>
            <w:r>
              <w:rPr>
                <w:rFonts w:ascii="仿宋_GB2312" w:hAnsi="仿宋_GB2312" w:cs="仿宋_GB2312" w:eastAsia="仿宋_GB2312"/>
                <w:sz w:val="28"/>
                <w:b/>
              </w:rPr>
              <w:t>：</w:t>
            </w:r>
            <w:r>
              <w:rPr>
                <w:rFonts w:ascii="仿宋_GB2312" w:hAnsi="仿宋_GB2312" w:cs="仿宋_GB2312" w:eastAsia="仿宋_GB2312"/>
                <w:sz w:val="28"/>
              </w:rPr>
              <w:t>2026年度蒲城县龙阳镇南湾村西甜瓜产业园区生产配套设施项目的全部内容（</w:t>
            </w:r>
            <w:r>
              <w:rPr>
                <w:rFonts w:ascii="仿宋_GB2312" w:hAnsi="仿宋_GB2312" w:cs="仿宋_GB2312" w:eastAsia="仿宋_GB2312"/>
                <w:sz w:val="28"/>
              </w:rPr>
              <w:t>包含</w:t>
            </w:r>
            <w:r>
              <w:rPr>
                <w:rFonts w:ascii="仿宋_GB2312" w:hAnsi="仿宋_GB2312" w:cs="仿宋_GB2312" w:eastAsia="仿宋_GB2312"/>
                <w:sz w:val="28"/>
              </w:rPr>
              <w:t>施工图纸</w:t>
            </w:r>
            <w:r>
              <w:rPr>
                <w:rFonts w:ascii="仿宋_GB2312" w:hAnsi="仿宋_GB2312" w:cs="仿宋_GB2312" w:eastAsia="仿宋_GB2312"/>
                <w:sz w:val="28"/>
              </w:rPr>
              <w:t>、</w:t>
            </w:r>
            <w:r>
              <w:rPr>
                <w:rFonts w:ascii="仿宋_GB2312" w:hAnsi="仿宋_GB2312" w:cs="仿宋_GB2312" w:eastAsia="仿宋_GB2312"/>
                <w:sz w:val="28"/>
              </w:rPr>
              <w:t>竞争性磋商文件、工程量清单及与其有关的其他说明所包含的全部内容</w:t>
            </w:r>
            <w:r>
              <w:rPr>
                <w:rFonts w:ascii="仿宋_GB2312" w:hAnsi="仿宋_GB2312" w:cs="仿宋_GB2312" w:eastAsia="仿宋_GB2312"/>
                <w:sz w:val="28"/>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8"/>
                <w:b/>
              </w:rPr>
              <w:t>工期：</w:t>
            </w:r>
            <w:r>
              <w:rPr>
                <w:rFonts w:ascii="仿宋_GB2312" w:hAnsi="仿宋_GB2312" w:cs="仿宋_GB2312" w:eastAsia="仿宋_GB2312"/>
                <w:sz w:val="28"/>
                <w:b/>
              </w:rPr>
              <w:t>60日历天</w:t>
            </w:r>
            <w:r>
              <w:rPr>
                <w:rFonts w:ascii="仿宋_GB2312" w:hAnsi="仿宋_GB2312" w:cs="仿宋_GB2312" w:eastAsia="仿宋_GB2312"/>
                <w:sz w:val="28"/>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8"/>
                <w:b/>
              </w:rPr>
              <w:t>项目地点：</w:t>
            </w:r>
            <w:r>
              <w:rPr>
                <w:rFonts w:ascii="仿宋_GB2312" w:hAnsi="仿宋_GB2312" w:cs="仿宋_GB2312" w:eastAsia="仿宋_GB2312"/>
                <w:sz w:val="28"/>
              </w:rPr>
              <w:t>蒲城县龙阳镇南湾村</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28"/>
                <w:b/>
                <w:color w:val="000000"/>
              </w:rPr>
              <w:t>付款方式：</w:t>
            </w:r>
            <w:r>
              <w:rPr>
                <w:rFonts w:ascii="仿宋_GB2312" w:hAnsi="仿宋_GB2312" w:cs="仿宋_GB2312" w:eastAsia="仿宋_GB2312"/>
                <w:sz w:val="28"/>
                <w:color w:val="000000"/>
              </w:rPr>
              <w:t>合同签订、乙方进场后支付工程预付款</w:t>
            </w:r>
            <w:r>
              <w:rPr>
                <w:rFonts w:ascii="仿宋_GB2312" w:hAnsi="仿宋_GB2312" w:cs="仿宋_GB2312" w:eastAsia="仿宋_GB2312"/>
                <w:sz w:val="28"/>
                <w:color w:val="000000"/>
              </w:rPr>
              <w:t>40%；工程完工且满足约定完工条件，甲方支付合同暂定价款的57%；剩余3%作为质量保证金，自项目竣工验收合格、审计办结之日起满一年，工程未出现质量缺陷，甲方支付剩余全部工程款。</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8"/>
                <w:b/>
              </w:rPr>
              <w:t>质量要求：</w:t>
            </w:r>
            <w:r>
              <w:rPr>
                <w:rFonts w:ascii="仿宋_GB2312" w:hAnsi="仿宋_GB2312" w:cs="仿宋_GB2312" w:eastAsia="仿宋_GB2312"/>
                <w:sz w:val="28"/>
              </w:rPr>
              <w:t>须符合国家施⼯验收规范要求，达到合格标准</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8"/>
                <w:b/>
              </w:rPr>
              <w:t>质保期：</w:t>
            </w:r>
            <w:r>
              <w:rPr>
                <w:rFonts w:ascii="仿宋_GB2312" w:hAnsi="仿宋_GB2312" w:cs="仿宋_GB2312" w:eastAsia="仿宋_GB2312"/>
                <w:sz w:val="28"/>
              </w:rPr>
              <w:t>一</w:t>
            </w:r>
            <w:r>
              <w:rPr>
                <w:rFonts w:ascii="仿宋_GB2312" w:hAnsi="仿宋_GB2312" w:cs="仿宋_GB2312" w:eastAsia="仿宋_GB2312"/>
                <w:sz w:val="28"/>
              </w:rPr>
              <w:t>年，如承诺延⻓的按承诺期限。</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8"/>
                <w:b/>
              </w:rPr>
              <w:t>工程量清单：</w:t>
            </w:r>
            <w:r>
              <w:rPr>
                <w:rFonts w:ascii="仿宋_GB2312" w:hAnsi="仿宋_GB2312" w:cs="仿宋_GB2312" w:eastAsia="仿宋_GB2312"/>
                <w:sz w:val="28"/>
              </w:rPr>
              <w:t>详见附件。</w:t>
            </w:r>
          </w:p>
          <w:p>
            <w:pPr>
              <w:pStyle w:val="null3"/>
            </w:pPr>
            <w:r>
              <w:rPr>
                <w:rFonts w:ascii="仿宋_GB2312" w:hAnsi="仿宋_GB2312" w:cs="仿宋_GB2312" w:eastAsia="仿宋_GB2312"/>
                <w:sz w:val="28"/>
                <w:b/>
              </w:rPr>
              <w:t>图纸：</w:t>
            </w:r>
            <w:r>
              <w:rPr>
                <w:rFonts w:ascii="仿宋_GB2312" w:hAnsi="仿宋_GB2312" w:cs="仿宋_GB2312" w:eastAsia="仿宋_GB2312"/>
                <w:sz w:val="28"/>
              </w:rPr>
              <w:t>详见附件。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执行国家、省、市相关标准、规范及采购人要求。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详见磋商文件及合同文本</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采购标的对应的中小企业划分标准所属行业为建筑业。建筑业的划型标准为：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2.落实的政府采购政策： （1）财政部、工业和信息化部关于印发《政府采购促进中小企业发展管理办法》的通知-财库〔2020〕46号；（2）关于进一步加大政府采购支持中小企业力度的通知-财库〔2022〕19号；（3）财政部 司法部关于政府采购支持监狱企业发展有关问题的通知-财库〔2014〕68号；（4）财政部 民政部 中国残疾人联合会关于促进残疾人就业政府采购政策的通知-财库〔2017〕141号；（5）关于调整优化节能产品、环境标志产品政府采购执行机制的通知-财库〔2019〕9号；（6）财政部生态 环境部关于印发环境标志产品政府采购品目清单的通知-财库〔2019〕18号；（7）财政部发展改革委关于印发节能产品政府采购品目清单的通知-财库〔2019〕19号；（8）财政部 农业农村部 国家乡村振兴局关于运用政府采购政策支持乡村产业振兴的通知-财库〔2021〕19 号；（9）财政部、农业农村部、国家乡村振兴局、中华全国供销合作总社关于印发《关于深入开展政府采购脱贫地区农副产品工作推进乡村产业振兴的实施意见》的通知-财库〔2021〕20号；（10）陕西省财政厅关于落实政府采购支持中小企业政策有关事项的通知-陕财办采函〔2022〕10 号；（11）陕西省财政厅关于进一步加强政府绿色采购有关问题的通知-陕财办采〔2021〕29号；（12）陕西省财政厅关于印发《陕西省中小企业政府采购信用融资办法》-陕财办采〔2018〕23号；（13）陕西省财政厅关于加快推进我省中小企业政府采购信用融资工作的通知-陕财办采〔2020〕15号；（14）陕西省财政厅 中国人民银行西安分行关于深入推进政府采购信用融资业务的通知-陕财办采〔2023〕5号；（15）《财政部 工业和信息化部关于贯彻落实&lt;国务院办公厅关于在政府采购中实施本国产品标准及相关政策的通知&gt;的意见》（财库〔2025〕30 号）；（16）《关于推动解决政府采购异常低价问题的通知》（财库〔2026〕 2号）；（17）如有最新颁布的政府采购政策，按最新的文件执行。 3.中标人中标后向招标代理公司提交纸质投标文件叁份（纸质投标文件应通过专用制作软件直接打印，确保与项目电子化交易系统中的电子响应文件保持一致，不允许修改和补充。）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经审计的2025年度财务报告（成立时间至响应文件递交截止时间不足一年的可提供成立后任意时段的资产负债表）或响应文件递交截止时间前六个月内银行出具的资信证明；其他组织和自然人提供银行出具的资信证明或财务报表。注：①提供财务报告的，内容至少包括审计报告、附注。根据《财政部关于注册会计师行业统一监管平台上线运行的通知》财办〔2022〕32号文件要求，审计报告须有清晰可扫描查询的二维码（注册会计师行业统一监管平台网址：acc.mof.gov.cn），若审计报告未赋码视为无效。②提供资信证明的，必须提供资信证明全部页以及基本户信息（提供开户许可证或提供基本银行账户信息），银行出具的存款证明不能代替资信证明，存款证明无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法人提供经审计的2025年度财务报告（成立时间至响应文件递交截止时间不足一年的可提供成立后任意时段的资产负债表）或响应文件递交截止时间前六个月内银行出具的资信证明；其他组织和自然人提供银行出具的资信证明或财务报表。注：①提供财务报告的，内容至少包括审计报告、附注。根据《财政部关于注册会计师行业统一监管平台上线运行的通知》财办〔2022〕32号文件要求，审计报告须有清晰可扫描查询的二维码（注册会计师行业统一监管平台网址：acc.mof.gov.cn），若审计报告未赋码视为无效。②提供资信证明的，必须提供资信证明全部页以及基本户信息（提供开户许可证或提供基本银行账户信息），银行出具的存款证明不能代替资信证明，存款证明无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法人提供响应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信用承诺</w:t>
            </w:r>
          </w:p>
        </w:tc>
        <w:tc>
          <w:tcPr>
            <w:tcW w:type="dxa" w:w="3322"/>
          </w:tcPr>
          <w:p>
            <w:pPr>
              <w:pStyle w:val="null3"/>
            </w:pPr>
            <w:r>
              <w:rPr>
                <w:rFonts w:ascii="仿宋_GB2312" w:hAnsi="仿宋_GB2312" w:cs="仿宋_GB2312" w:eastAsia="仿宋_GB2312"/>
              </w:rPr>
              <w:t>提供未被“信用中国”网站（www.creditchina.gov.cn）列入重大税收违法失信主体名单，未被“中国执行信息公开网”网站（zxgk.court.gov.cn）列入失信被执行人，未被“中国政府采购网”网站（www.ccgp.gov.cn）列入政府采购严重违法失信行为记录名单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供应商具备建设行政主管部门颁发的市政公用工程施工总承包三级及以上（含三级）资质，并具有有效的安全生产许可证（提供证书或证件）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拟派项目经理资格和专业</w:t>
            </w:r>
          </w:p>
        </w:tc>
        <w:tc>
          <w:tcPr>
            <w:tcW w:type="dxa" w:w="3322"/>
          </w:tcPr>
          <w:p>
            <w:pPr>
              <w:pStyle w:val="null3"/>
            </w:pPr>
            <w:r>
              <w:rPr>
                <w:rFonts w:ascii="仿宋_GB2312" w:hAnsi="仿宋_GB2312" w:cs="仿宋_GB2312" w:eastAsia="仿宋_GB2312"/>
              </w:rPr>
              <w:t>供应商拟派项目经理须具备市政公用工程注册建造师二级及以上（含二级）注册建造师执业资格及有效的安全生产考核合格证（建安B证），在本单位注册（提供证书或证件），未担任其它在施建设工程的项目经理（提供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供应商及拟派项目经理基本信息</w:t>
            </w:r>
          </w:p>
        </w:tc>
        <w:tc>
          <w:tcPr>
            <w:tcW w:type="dxa" w:w="3322"/>
          </w:tcPr>
          <w:p>
            <w:pPr>
              <w:pStyle w:val="null3"/>
            </w:pPr>
            <w:r>
              <w:rPr>
                <w:rFonts w:ascii="仿宋_GB2312" w:hAnsi="仿宋_GB2312" w:cs="仿宋_GB2312" w:eastAsia="仿宋_GB2312"/>
              </w:rPr>
              <w:t>供应商及拟派项目经理基本信息须在“陕西省住房和城乡建设厅网”网站（js.shaanxi.gov.cn）可查询（提供承诺）。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直接控股控股、管理关系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单位负责人为同一人或者存在直接控股、管理关系的不同供应商，不得同时参与本采购项目响应（提供直接控股和管理关系清单）。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为本项目提供整体设计、规范编制或者项目管理、监理、检测等服务的供应商，不得再参与本项目响应（提供承诺）。</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供应商名称与营业执照一致（合格）供应商名称与营业执照不一致（不合格）</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同时满足以下条款： （1）货币单位符合招标文件要求（2）报价符合唯一性要求 （3）未超出采购预算或最高限价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磋商有效期达到磋商文件要求</w:t>
            </w:r>
          </w:p>
        </w:tc>
        <w:tc>
          <w:tcPr>
            <w:tcW w:type="dxa" w:w="3322"/>
          </w:tcPr>
          <w:p>
            <w:pPr>
              <w:pStyle w:val="null3"/>
            </w:pPr>
            <w:r>
              <w:rPr>
                <w:rFonts w:ascii="仿宋_GB2312" w:hAnsi="仿宋_GB2312" w:cs="仿宋_GB2312" w:eastAsia="仿宋_GB2312"/>
              </w:rPr>
              <w:t>磋商有效期达到磋商文件要求（合格） 磋商有效期未达到磋商文件要求（不合格）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投标文件组成</w:t>
            </w:r>
          </w:p>
        </w:tc>
        <w:tc>
          <w:tcPr>
            <w:tcW w:type="dxa" w:w="3322"/>
          </w:tcPr>
          <w:p>
            <w:pPr>
              <w:pStyle w:val="null3"/>
            </w:pPr>
            <w:r>
              <w:rPr>
                <w:rFonts w:ascii="仿宋_GB2312" w:hAnsi="仿宋_GB2312" w:cs="仿宋_GB2312" w:eastAsia="仿宋_GB2312"/>
              </w:rPr>
              <w:t>投标文件完整且编排有序，投标内容基本完整，无重大错漏；</w:t>
            </w:r>
          </w:p>
        </w:tc>
        <w:tc>
          <w:tcPr>
            <w:tcW w:type="dxa" w:w="1661"/>
          </w:tcPr>
          <w:p>
            <w:pPr>
              <w:pStyle w:val="null3"/>
            </w:pPr>
            <w:r>
              <w:rPr>
                <w:rFonts w:ascii="仿宋_GB2312" w:hAnsi="仿宋_GB2312" w:cs="仿宋_GB2312" w:eastAsia="仿宋_GB2312"/>
              </w:rPr>
              <w:t>响应文件封面 已标价工程量清单 报价函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完全理解并响应采购文件合同条款的要求，且未含有采购人不能接受的附加条件的。</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投标人应授权合法的人员参加本项目招标活动全过程，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及授权代表投标截止日前一年内已缴存的至少一个月的社会保险参保缴费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符合法律、法规和磋商文件中规定的其他实质性要求（合格） 不符合法律、法规和磋商文件中规定的其他实质性要求（不合格）</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供应商针对本项目实际需求提供施工方案，内容包含①施工部署；②进度计划；③技术难点、应对措施；④施工流程图或工艺流程。 二、评审标准： ①完整性：内容详细全面，对本项目了解透彻； ②可实施性：切合本项目实际情况，方案全面、施工步骤清晰、合理； ③针对性：方案能够紧扣项目实际情况，内容科学合理。三、赋分标准： ①施工部署：每完全满足一项评审标准得1分，内容有缺陷扣0.5分，缺项或未提供得0分，满分3分； ②进度计划：每完全满足一项评审标准得1分，内容有缺陷扣0.5分，缺项或未提供得0分，满分3分； ③技术难点、应对措施：每完全满足一项评审标准得1分，内容有缺陷扣0.5分，缺项或未提供得0分，满分3分； ④施工流程图或工艺流程：每完全满足一项评审标准得1分，内容有缺陷扣0.5分，缺项或未提供得0分，满分3分。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供应商针对本项目实际需求提供确保工程质量的技术组织措施，内容包含①质量目标；②质量管理体系（体系需包含质量责任、人员培训、资源配置、质量检查、应急处理等环节)；③质量管理措施。 二、评审标准 ①完整性：内容详细全面，对本项目了解透彻； ②可实施性：切合本项目实际情况，措施全面、清晰、合理； ③针对性：方案能够紧扣项目实际情况，内容科学合理。 三、赋分标准： ①质量目标：每完全满足一项评审标准得1分，内容有缺陷扣0.5分，缺项或未提供得0分，满分3分； ②质量管理体系：每完全满足一项评审标准得2分，内容有缺陷扣1分，缺项或未提供得0分，满分6分； ③质量管理措施：每完全满足一项评审标准得1分，内容有缺陷扣0.5分，缺项或未提供得0分，满分3分。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确保安全文明施工的技术组织措施</w:t>
            </w:r>
          </w:p>
        </w:tc>
        <w:tc>
          <w:tcPr>
            <w:tcW w:type="dxa" w:w="2492"/>
          </w:tcPr>
          <w:p>
            <w:pPr>
              <w:pStyle w:val="null3"/>
            </w:pPr>
            <w:r>
              <w:rPr>
                <w:rFonts w:ascii="仿宋_GB2312" w:hAnsi="仿宋_GB2312" w:cs="仿宋_GB2312" w:eastAsia="仿宋_GB2312"/>
              </w:rPr>
              <w:t>一、评审内容： 供应商针对本项目实际需求提供确保安全文明施工的技术组织措施，内容包含①安全目标及文明施工措施（措施包含场地整洁、噪音控制、扬尘治理（需附扬尘监测设备布置图））；②安全体系（体系包含安全管理制度、人员培训、应急演练、特种作业人员持证上岗管理）；③应急预案（涵盖常见安全事故场景）。 二、评审标准： ①完整性：内容详细全面，对本项目了解透彻； ②可实施性：切合本项目实际情况，措施全面、清晰、合理； ③针对性：方案能够紧扣项目实际情况，内容科学合理。 三、赋分标准： ①安全目标及文明施工措施：每完全满足一项评审标准得1分，内容有缺陷扣0.5分，缺项或未提供得0分，满分3分； ②安全体系：每完全满足一项评审标准得1分，内容有缺陷扣0.5分，缺项或未提供得0分，满分3分； ③应急预案：每完全满足一项评审标准得1分，内容有缺陷扣0.5分，缺项或未提供得0分，满分3分。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供应商针对本项目实际需求提供确保工期的技术组织措施，内容包含①工期计划；②关键节点工期分析；③延误工期补救措施。 二、评审标准： ①完整性：内容详细全面，对本项目了解透彻； ②可实施性：切合本项目实际情况，措施全面、清晰、合理； ③针对性：方案能够紧扣项目实际情况，内容科学合理。三、赋分标准： ①工期计划：每完全满足一项评审标准得1分，内容有缺陷扣0.5分，缺项或未提供得0分，满分3分； ②关键节点工期分析：每完全满足一项评审标准得1分，内容有缺陷扣0.5分，缺项或未提供得0分，满分3分； ③延误工期补救措施：每完全满足一项评审标准得1分，内容有缺陷扣0.5分，缺项或未提供得0分，满分3分。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一、评审内容： 供应商针对本项目实际需求提供施工机械配备和材料投入计划，内容包含①施工机械配备；②材料投入计划（主要材料信息（名称、规格、数量等）与工程进度匹配）。 二、评审标准： ①齐全程度：齐全详细，能完全满足招标文件要求； ②实用性：质量有保障、使用率高、安全性能强； ③针对性：能紧扣项目实际情况配置合理科学； 三、赋分标准： ①施工机械配备：每完全满足一项评审标准得1分，内容有缺陷扣0.5分，缺项或未提供得0分，满分3分； ②材料投入计划：每完全满足一项评审标准得1分，内容有缺陷扣0.5分，缺项或未提供得0分，满分3分。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项目组织管理机构及人员配备情况</w:t>
            </w:r>
          </w:p>
        </w:tc>
        <w:tc>
          <w:tcPr>
            <w:tcW w:type="dxa" w:w="2492"/>
          </w:tcPr>
          <w:p>
            <w:pPr>
              <w:pStyle w:val="null3"/>
            </w:pPr>
            <w:r>
              <w:rPr>
                <w:rFonts w:ascii="仿宋_GB2312" w:hAnsi="仿宋_GB2312" w:cs="仿宋_GB2312" w:eastAsia="仿宋_GB2312"/>
              </w:rPr>
              <w:t>1.项目组织管理机构（1分）：提供项目组织管理机构表得1分；未提供得0分。 2.项目经理（4分）：具备同类项目经验（附合同复印件包含项目经理署名页）得2分，具备高级工程师职称得2分（需提供职称证书），其他情况不得分。 3.项目人员配备（5分）：需配备技术负责人、专职安全员（需C证）、质检员（需质量员证书）等岗位，需提供岗位证书、劳动合同。每配备一人得1分，最高得5分。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保修期内服务措施及保修承诺</w:t>
            </w:r>
          </w:p>
        </w:tc>
        <w:tc>
          <w:tcPr>
            <w:tcW w:type="dxa" w:w="2492"/>
          </w:tcPr>
          <w:p>
            <w:pPr>
              <w:pStyle w:val="null3"/>
            </w:pPr>
            <w:r>
              <w:rPr>
                <w:rFonts w:ascii="仿宋_GB2312" w:hAnsi="仿宋_GB2312" w:cs="仿宋_GB2312" w:eastAsia="仿宋_GB2312"/>
              </w:rPr>
              <w:t>1.保修期内服务措施(1分)：提供保修服务工作方案、回访计划及质量保修措施、保修团队人员名单、联系方式得1分，未提供得0分。 2.保修承诺(1分)：质保期每延长半年得0.5分，最高1分；未延长此项不得分。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提供2023年6月1日至今类似项目业绩，每提供一项有效业绩得2分，满分10分。 注:业绩需提供中标通知书或竣工验收证明或工程款发票中至少一项及合同（合同需含项目金额、工期、质量标准、签署时间等关键页）的复印件或扫描件加盖供应商公章，时间以合同签订时间为准。企业业绩与项目经理业绩可重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即实质性满足磋商文件要求且最终磋商报价最低的为磋商基准价，其价格分为满分30分。其他供应商的价格分按照下列公式计算：磋商报价得分=(磋商基准价/磋商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详见附件：拟签订采购合同文本(2).docx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