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A32223">
      <w:pPr>
        <w:pStyle w:val="6"/>
        <w:jc w:val="center"/>
        <w:outlineLvl w:val="2"/>
        <w:rPr>
          <w:rFonts w:hint="eastAsia" w:asciiTheme="minorEastAsia" w:hAnsiTheme="minorEastAsia" w:eastAsiaTheme="minorEastAsia" w:cstheme="minorEastAsia"/>
          <w:b/>
          <w:bCs/>
          <w:snapToGrid w:val="0"/>
          <w:color w:val="auto"/>
          <w:kern w:val="0"/>
          <w:sz w:val="32"/>
          <w:szCs w:val="32"/>
          <w:highlight w:val="none"/>
          <w:lang w:val="en-US" w:eastAsia="zh-CN" w:bidi="ar-SA"/>
        </w:rPr>
      </w:pPr>
      <w:bookmarkStart w:id="2" w:name="_GoBack"/>
      <w:r>
        <w:rPr>
          <w:rFonts w:hint="eastAsia" w:asciiTheme="minorEastAsia" w:hAnsiTheme="minorEastAsia" w:eastAsiaTheme="minorEastAsia" w:cstheme="minorEastAsia"/>
          <w:b/>
          <w:bCs/>
          <w:snapToGrid w:val="0"/>
          <w:color w:val="auto"/>
          <w:kern w:val="0"/>
          <w:sz w:val="32"/>
          <w:szCs w:val="32"/>
          <w:highlight w:val="none"/>
          <w:lang w:val="en-US" w:eastAsia="zh-CN" w:bidi="ar-SA"/>
        </w:rPr>
        <w:t>2026年度蒲城县龙阳镇南湾村西甜瓜产业园区生产配套设施项目</w:t>
      </w:r>
    </w:p>
    <w:p w14:paraId="14662A1C">
      <w:pPr>
        <w:jc w:val="center"/>
        <w:rPr>
          <w:rFonts w:hint="eastAsia" w:asciiTheme="minorEastAsia" w:hAnsiTheme="minorEastAsia" w:eastAsiaTheme="minorEastAsia" w:cstheme="minorEastAsia"/>
          <w:b/>
          <w:bCs/>
          <w:color w:val="auto"/>
          <w:sz w:val="32"/>
          <w:szCs w:val="32"/>
          <w:highlight w:val="none"/>
          <w:lang w:val="en-US" w:eastAsia="zh-CN"/>
        </w:rPr>
      </w:pPr>
      <w:r>
        <w:rPr>
          <w:rFonts w:hint="eastAsia" w:asciiTheme="minorEastAsia" w:hAnsiTheme="minorEastAsia" w:eastAsiaTheme="minorEastAsia" w:cstheme="minorEastAsia"/>
          <w:b/>
          <w:bCs/>
          <w:color w:val="auto"/>
          <w:sz w:val="32"/>
          <w:szCs w:val="32"/>
          <w:highlight w:val="none"/>
          <w:lang w:val="en-US" w:eastAsia="zh-CN"/>
        </w:rPr>
        <w:t>施工合同</w:t>
      </w:r>
    </w:p>
    <w:p w14:paraId="43795AD9">
      <w:pPr>
        <w:pStyle w:val="2"/>
        <w:jc w:val="center"/>
        <w:rPr>
          <w:rFonts w:hint="eastAsia" w:asciiTheme="minorEastAsia" w:hAnsiTheme="minorEastAsia" w:eastAsiaTheme="minorEastAsia" w:cstheme="minorEastAsia"/>
          <w:color w:val="auto"/>
          <w:highlight w:val="none"/>
        </w:rPr>
      </w:pPr>
    </w:p>
    <w:p w14:paraId="1BD3CCA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8"/>
          <w:szCs w:val="28"/>
          <w:highlight w:val="none"/>
          <w:lang w:val="en-US" w:eastAsia="zh-CN"/>
        </w:rPr>
      </w:pPr>
      <w:r>
        <w:rPr>
          <w:rFonts w:hint="eastAsia" w:asciiTheme="minorEastAsia" w:hAnsiTheme="minorEastAsia" w:eastAsiaTheme="minorEastAsia" w:cstheme="minorEastAsia"/>
          <w:b/>
          <w:bCs/>
          <w:color w:val="auto"/>
          <w:sz w:val="28"/>
          <w:szCs w:val="28"/>
          <w:highlight w:val="none"/>
        </w:rPr>
        <w:t>甲方：</w:t>
      </w:r>
      <w:r>
        <w:rPr>
          <w:rFonts w:hint="eastAsia" w:asciiTheme="minorEastAsia" w:hAnsiTheme="minorEastAsia" w:eastAsiaTheme="minorEastAsia" w:cstheme="minorEastAsia"/>
          <w:b/>
          <w:bCs/>
          <w:color w:val="auto"/>
          <w:sz w:val="28"/>
          <w:szCs w:val="28"/>
          <w:highlight w:val="none"/>
          <w:lang w:val="en-US" w:eastAsia="zh-CN"/>
        </w:rPr>
        <w:t xml:space="preserve"> </w:t>
      </w:r>
    </w:p>
    <w:p w14:paraId="4B5028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乙方：</w:t>
      </w:r>
    </w:p>
    <w:p w14:paraId="66F865C0">
      <w:pPr>
        <w:pStyle w:val="6"/>
        <w:ind w:firstLine="560" w:firstLineChars="200"/>
        <w:jc w:val="left"/>
        <w:outlineLvl w:val="2"/>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根据《中华人民共和国民法典》、《中华人民共和国建筑法》及其他有关法律、法规规定，甲乙双方遵循平等、自愿、公平和诚实信用的原则，就2026年度蒲城县龙阳镇南湾村西甜瓜产业园区生产配套设施项目相关事宜，经协商一致，签订本合同。</w:t>
      </w:r>
    </w:p>
    <w:p w14:paraId="52102002">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一、工程概况</w:t>
      </w:r>
    </w:p>
    <w:p w14:paraId="6D41C58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color w:val="auto"/>
          <w:sz w:val="20"/>
          <w:highlight w:val="none"/>
          <w:lang w:eastAsia="zh-CN"/>
        </w:rPr>
      </w:pPr>
      <w:r>
        <w:rPr>
          <w:rFonts w:hint="eastAsia" w:asciiTheme="minorEastAsia" w:hAnsiTheme="minorEastAsia" w:eastAsiaTheme="minorEastAsia" w:cstheme="minorEastAsia"/>
          <w:color w:val="auto"/>
          <w:sz w:val="28"/>
          <w:szCs w:val="28"/>
          <w:highlight w:val="none"/>
          <w:lang w:eastAsia="zh-CN"/>
        </w:rPr>
        <w:t>1．工程地址：蒲城县龙阳镇南湾村</w:t>
      </w:r>
    </w:p>
    <w:p w14:paraId="377FE78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lang w:eastAsia="zh-CN"/>
        </w:rPr>
        <w:t>2．施工内容：（详见附表）</w:t>
      </w:r>
    </w:p>
    <w:p w14:paraId="2B26B0B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eastAsia="zh-CN"/>
        </w:rPr>
        <w:t>3</w:t>
      </w:r>
      <w:r>
        <w:rPr>
          <w:rFonts w:hint="eastAsia" w:asciiTheme="minorEastAsia" w:hAnsiTheme="minorEastAsia" w:eastAsiaTheme="minorEastAsia" w:cstheme="minorEastAsia"/>
          <w:color w:val="auto"/>
          <w:sz w:val="28"/>
          <w:szCs w:val="28"/>
          <w:highlight w:val="none"/>
          <w:lang w:eastAsia="zh-CN"/>
        </w:rPr>
        <w:t>．工期：</w:t>
      </w:r>
      <w:r>
        <w:rPr>
          <w:rFonts w:hint="eastAsia" w:asciiTheme="minorEastAsia" w:hAnsiTheme="minorEastAsia" w:eastAsiaTheme="minorEastAsia" w:cstheme="minorEastAsia"/>
          <w:color w:val="auto"/>
          <w:sz w:val="28"/>
          <w:szCs w:val="28"/>
          <w:highlight w:val="none"/>
          <w:lang w:val="en-US" w:eastAsia="zh-CN"/>
        </w:rPr>
        <w:t>60 日历天。</w:t>
      </w:r>
    </w:p>
    <w:p w14:paraId="0846D92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lang w:eastAsia="zh-CN"/>
        </w:rPr>
        <w:t>（1）若因乙方原因停工或返工，导致工期延误，由乙方承担一切费用，并按照合同价款的5‰按天计算向甲方支付违约金。</w:t>
      </w:r>
    </w:p>
    <w:p w14:paraId="011A332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lang w:eastAsia="zh-CN"/>
        </w:rPr>
        <w:t>（2）若因甲方原因或天气、政府政策等不可抗力因素导致延误，乙方作书面说明后，合理顺延工期。</w:t>
      </w:r>
    </w:p>
    <w:p w14:paraId="10BC4187">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二、工程价款及支付方式</w:t>
      </w:r>
    </w:p>
    <w:p w14:paraId="4646613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0"/>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1．合同价款</w:t>
      </w:r>
    </w:p>
    <w:p w14:paraId="5C6AE5B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0"/>
        <w:rPr>
          <w:rFonts w:hint="eastAsia" w:asciiTheme="minorEastAsia" w:hAnsiTheme="minorEastAsia" w:eastAsiaTheme="minorEastAsia" w:cstheme="minorEastAsia"/>
          <w:color w:val="auto"/>
          <w:kern w:val="2"/>
          <w:sz w:val="28"/>
          <w:szCs w:val="28"/>
          <w:highlight w:val="none"/>
          <w:u w:val="none"/>
          <w:lang w:val="en-US" w:eastAsia="zh-CN" w:bidi="ar-SA"/>
        </w:rPr>
      </w:pPr>
      <w:r>
        <w:rPr>
          <w:rFonts w:hint="eastAsia" w:asciiTheme="minorEastAsia" w:hAnsiTheme="minorEastAsia" w:eastAsiaTheme="minorEastAsia" w:cstheme="minorEastAsia"/>
          <w:color w:val="auto"/>
          <w:kern w:val="2"/>
          <w:sz w:val="28"/>
          <w:szCs w:val="28"/>
          <w:highlight w:val="none"/>
          <w:u w:val="none"/>
          <w:lang w:val="en-US" w:eastAsia="zh-CN" w:bidi="ar-SA"/>
        </w:rPr>
        <w:t>大写：</w:t>
      </w:r>
      <w:r>
        <w:rPr>
          <w:rFonts w:hint="eastAsia" w:asciiTheme="minorEastAsia" w:hAnsiTheme="minorEastAsia" w:eastAsiaTheme="minorEastAsia" w:cstheme="minorEastAsia"/>
          <w:color w:val="auto"/>
          <w:kern w:val="2"/>
          <w:sz w:val="28"/>
          <w:szCs w:val="28"/>
          <w:highlight w:val="none"/>
          <w:u w:val="single"/>
          <w:lang w:val="en-US" w:eastAsia="zh-CN" w:bidi="ar-SA"/>
        </w:rPr>
        <w:t xml:space="preserve">     （人民币）</w:t>
      </w:r>
      <w:r>
        <w:rPr>
          <w:rFonts w:hint="eastAsia" w:asciiTheme="minorEastAsia" w:hAnsiTheme="minorEastAsia" w:eastAsiaTheme="minorEastAsia" w:cstheme="minorEastAsia"/>
          <w:color w:val="auto"/>
          <w:kern w:val="2"/>
          <w:sz w:val="28"/>
          <w:szCs w:val="28"/>
          <w:highlight w:val="none"/>
          <w:u w:val="none"/>
          <w:lang w:val="en-US" w:eastAsia="zh-CN" w:bidi="ar-SA"/>
        </w:rPr>
        <w:t>，小写：</w:t>
      </w:r>
      <w:r>
        <w:rPr>
          <w:rFonts w:hint="eastAsia" w:asciiTheme="minorEastAsia" w:hAnsiTheme="minorEastAsia" w:eastAsiaTheme="minorEastAsia" w:cstheme="minorEastAsia"/>
          <w:color w:val="auto"/>
          <w:kern w:val="2"/>
          <w:sz w:val="28"/>
          <w:szCs w:val="28"/>
          <w:highlight w:val="none"/>
          <w:u w:val="single"/>
          <w:lang w:val="en-US" w:eastAsia="zh-CN" w:bidi="ar-SA"/>
        </w:rPr>
        <w:t xml:space="preserve">¥     </w:t>
      </w:r>
      <w:r>
        <w:rPr>
          <w:rFonts w:hint="eastAsia" w:asciiTheme="minorEastAsia" w:hAnsiTheme="minorEastAsia" w:eastAsiaTheme="minorEastAsia" w:cstheme="minorEastAsia"/>
          <w:color w:val="auto"/>
          <w:kern w:val="2"/>
          <w:sz w:val="28"/>
          <w:szCs w:val="28"/>
          <w:highlight w:val="none"/>
          <w:u w:val="none"/>
          <w:lang w:val="en-US" w:eastAsia="zh-CN" w:bidi="ar-SA"/>
        </w:rPr>
        <w:t>元。</w:t>
      </w:r>
    </w:p>
    <w:p w14:paraId="542AA15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0"/>
        <w:rPr>
          <w:rFonts w:hint="eastAsia" w:asciiTheme="minorEastAsia" w:hAnsiTheme="minorEastAsia" w:eastAsiaTheme="minorEastAsia" w:cstheme="minorEastAsia"/>
          <w:color w:val="auto"/>
          <w:kern w:val="2"/>
          <w:sz w:val="28"/>
          <w:szCs w:val="28"/>
          <w:highlight w:val="none"/>
          <w:u w:val="none"/>
          <w:lang w:val="en-US" w:eastAsia="zh-CN" w:bidi="ar-SA"/>
        </w:rPr>
      </w:pPr>
      <w:r>
        <w:rPr>
          <w:rFonts w:hint="eastAsia" w:asciiTheme="minorEastAsia" w:hAnsiTheme="minorEastAsia" w:eastAsiaTheme="minorEastAsia" w:cstheme="minorEastAsia"/>
          <w:color w:val="auto"/>
          <w:sz w:val="28"/>
          <w:szCs w:val="28"/>
          <w:highlight w:val="none"/>
          <w:lang w:val="en-US" w:eastAsia="zh-CN"/>
        </w:rPr>
        <w:t>备注：综合单价按照最终报价与一次报价同比例下浮进行计算。</w:t>
      </w:r>
    </w:p>
    <w:p w14:paraId="782331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outlineLvl w:val="0"/>
        <w:rPr>
          <w:rFonts w:hint="eastAsia" w:asciiTheme="minorEastAsia" w:hAnsiTheme="minorEastAsia" w:eastAsiaTheme="minorEastAsia" w:cstheme="minorEastAsia"/>
          <w:color w:val="auto"/>
          <w:kern w:val="2"/>
          <w:sz w:val="28"/>
          <w:szCs w:val="28"/>
          <w:highlight w:val="none"/>
          <w:u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2.</w:t>
      </w:r>
      <w:r>
        <w:rPr>
          <w:rFonts w:hint="eastAsia" w:asciiTheme="minorEastAsia" w:hAnsiTheme="minorEastAsia" w:eastAsiaTheme="minorEastAsia" w:cstheme="minorEastAsia"/>
          <w:color w:val="auto"/>
          <w:kern w:val="2"/>
          <w:sz w:val="28"/>
          <w:szCs w:val="28"/>
          <w:highlight w:val="none"/>
          <w:u w:val="none"/>
          <w:lang w:val="en-US" w:eastAsia="zh-CN" w:bidi="ar-SA"/>
        </w:rPr>
        <w:t>合同价格形式：固定综合单价。综合单价按照最终报价与一次报价优惠率进行计算。</w:t>
      </w:r>
    </w:p>
    <w:p w14:paraId="3A64208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sz w:val="28"/>
          <w:szCs w:val="28"/>
          <w:highlight w:val="none"/>
          <w:lang w:val="en-US" w:eastAsia="zh-CN"/>
        </w:rPr>
        <w:t>3．</w:t>
      </w:r>
      <w:r>
        <w:rPr>
          <w:rFonts w:hint="eastAsia" w:asciiTheme="minorEastAsia" w:hAnsiTheme="minorEastAsia" w:eastAsiaTheme="minorEastAsia" w:cstheme="minorEastAsia"/>
          <w:color w:val="auto"/>
          <w:sz w:val="28"/>
          <w:szCs w:val="28"/>
          <w:highlight w:val="none"/>
          <w:lang w:eastAsia="zh-CN"/>
        </w:rPr>
        <w:t>合同签订、乙方</w:t>
      </w:r>
      <w:r>
        <w:rPr>
          <w:rFonts w:hint="eastAsia" w:asciiTheme="minorEastAsia" w:hAnsiTheme="minorEastAsia" w:eastAsiaTheme="minorEastAsia" w:cstheme="minorEastAsia"/>
          <w:color w:val="auto"/>
          <w:sz w:val="28"/>
          <w:szCs w:val="28"/>
          <w:highlight w:val="none"/>
          <w:lang w:eastAsia="zh-CN"/>
        </w:rPr>
        <w:t>进场后支付工程预付款40%；工程完工且满足约定完工条件，甲方支付合同暂定价款的</w:t>
      </w:r>
      <w:r>
        <w:rPr>
          <w:rFonts w:hint="eastAsia" w:asciiTheme="minorEastAsia" w:hAnsiTheme="minorEastAsia" w:eastAsiaTheme="minorEastAsia" w:cstheme="minorEastAsia"/>
          <w:color w:val="auto"/>
          <w:sz w:val="28"/>
          <w:szCs w:val="28"/>
          <w:highlight w:val="none"/>
          <w:lang w:val="en-US" w:eastAsia="zh-CN"/>
        </w:rPr>
        <w:t>57</w:t>
      </w:r>
      <w:r>
        <w:rPr>
          <w:rFonts w:hint="eastAsia" w:asciiTheme="minorEastAsia" w:hAnsiTheme="minorEastAsia" w:eastAsiaTheme="minorEastAsia" w:cstheme="minorEastAsia"/>
          <w:color w:val="auto"/>
          <w:sz w:val="28"/>
          <w:szCs w:val="28"/>
          <w:highlight w:val="none"/>
          <w:lang w:eastAsia="zh-CN"/>
        </w:rPr>
        <w:t>%；剩余3%作为质量保证金，自项目竣工验收合格、审计办结之日起满一年，工程未出现</w:t>
      </w:r>
      <w:r>
        <w:rPr>
          <w:rFonts w:hint="eastAsia" w:asciiTheme="minorEastAsia" w:hAnsiTheme="minorEastAsia" w:eastAsiaTheme="minorEastAsia" w:cstheme="minorEastAsia"/>
          <w:color w:val="auto"/>
          <w:sz w:val="28"/>
          <w:szCs w:val="28"/>
          <w:highlight w:val="none"/>
          <w:lang w:eastAsia="zh-CN"/>
        </w:rPr>
        <w:t>质量缺陷，甲方支付剩余全部工程款。</w:t>
      </w:r>
    </w:p>
    <w:p w14:paraId="1F0C3461">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三、</w:t>
      </w:r>
      <w:bookmarkStart w:id="0" w:name="_Hlk486005177"/>
      <w:r>
        <w:rPr>
          <w:rFonts w:hint="eastAsia" w:asciiTheme="minorEastAsia" w:hAnsiTheme="minorEastAsia" w:eastAsiaTheme="minorEastAsia" w:cstheme="minorEastAsia"/>
          <w:b/>
          <w:bCs/>
          <w:color w:val="auto"/>
          <w:sz w:val="28"/>
          <w:szCs w:val="28"/>
          <w:highlight w:val="none"/>
        </w:rPr>
        <w:t>工程变更签证</w:t>
      </w:r>
    </w:p>
    <w:p w14:paraId="542C86EA">
      <w:pPr>
        <w:keepNext w:val="0"/>
        <w:keepLines w:val="0"/>
        <w:pageBreakBefore w:val="0"/>
        <w:widowControl w:val="0"/>
        <w:tabs>
          <w:tab w:val="left" w:pos="703"/>
        </w:tabs>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项目踏勘现场，如无异议表示确认招标资料，中标后不予变更签证；如因建设单位要求确需变更签证的，需严格按照建设单位变更签证管理办法相关程序办理申批手续，按照以下方式进行结算：</w:t>
      </w:r>
    </w:p>
    <w:p w14:paraId="7286846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1．如果投标报价中有相应综合单价的，则按原有综合单价计算，</w:t>
      </w:r>
      <w:r>
        <w:rPr>
          <w:rFonts w:hint="eastAsia" w:asciiTheme="minorEastAsia" w:hAnsiTheme="minorEastAsia" w:eastAsiaTheme="minorEastAsia" w:cstheme="minorEastAsia"/>
          <w:color w:val="auto"/>
          <w:sz w:val="28"/>
          <w:szCs w:val="28"/>
          <w:highlight w:val="none"/>
          <w:lang w:eastAsia="zh-CN"/>
        </w:rPr>
        <w:t>根据施工图、签证单、变更单、竣工图等资料确定工程量，计算</w:t>
      </w:r>
      <w:r>
        <w:rPr>
          <w:rFonts w:hint="eastAsia" w:asciiTheme="minorEastAsia" w:hAnsiTheme="minorEastAsia" w:eastAsiaTheme="minorEastAsia" w:cstheme="minorEastAsia"/>
          <w:color w:val="auto"/>
          <w:sz w:val="28"/>
          <w:szCs w:val="28"/>
          <w:highlight w:val="none"/>
          <w:lang w:val="en-US" w:eastAsia="zh-CN"/>
        </w:rPr>
        <w:t>工程</w:t>
      </w:r>
      <w:r>
        <w:rPr>
          <w:rFonts w:hint="eastAsia" w:asciiTheme="minorEastAsia" w:hAnsiTheme="minorEastAsia" w:eastAsiaTheme="minorEastAsia" w:cstheme="minorEastAsia"/>
          <w:color w:val="auto"/>
          <w:sz w:val="28"/>
          <w:szCs w:val="28"/>
          <w:highlight w:val="none"/>
        </w:rPr>
        <w:t>造价</w:t>
      </w:r>
      <w:r>
        <w:rPr>
          <w:rFonts w:hint="eastAsia" w:asciiTheme="minorEastAsia" w:hAnsiTheme="minorEastAsia" w:eastAsiaTheme="minorEastAsia" w:cstheme="minorEastAsia"/>
          <w:color w:val="auto"/>
          <w:sz w:val="28"/>
          <w:szCs w:val="28"/>
          <w:highlight w:val="none"/>
          <w:lang w:eastAsia="zh-CN"/>
        </w:rPr>
        <w:t>。</w:t>
      </w:r>
    </w:p>
    <w:p w14:paraId="4B6E0F3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2．如果投标报价中有相应综合单价，但因甲方要求出现材料变更的</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则原综合单价不变，只调材差</w:t>
      </w:r>
      <w:r>
        <w:rPr>
          <w:rFonts w:hint="eastAsia" w:asciiTheme="minorEastAsia" w:hAnsiTheme="minorEastAsia" w:eastAsiaTheme="minorEastAsia" w:cstheme="minorEastAsia"/>
          <w:color w:val="auto"/>
          <w:sz w:val="28"/>
          <w:szCs w:val="28"/>
          <w:highlight w:val="none"/>
          <w:lang w:eastAsia="zh-CN"/>
        </w:rPr>
        <w:t>。</w:t>
      </w:r>
    </w:p>
    <w:p w14:paraId="0A1F09C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3．如果投标文件报价中没有相应综合单价的，按照陕西省现行</w:t>
      </w:r>
      <w:r>
        <w:rPr>
          <w:rFonts w:hint="eastAsia" w:asciiTheme="minorEastAsia" w:hAnsiTheme="minorEastAsia" w:eastAsiaTheme="minorEastAsia" w:cstheme="minorEastAsia"/>
          <w:color w:val="auto"/>
          <w:sz w:val="28"/>
          <w:szCs w:val="28"/>
          <w:highlight w:val="none"/>
          <w:lang w:eastAsia="zh-CN"/>
        </w:rPr>
        <w:t>规范、</w:t>
      </w:r>
      <w:r>
        <w:rPr>
          <w:rFonts w:hint="eastAsia" w:asciiTheme="minorEastAsia" w:hAnsiTheme="minorEastAsia" w:eastAsiaTheme="minorEastAsia" w:cstheme="minorEastAsia"/>
          <w:color w:val="auto"/>
          <w:sz w:val="28"/>
          <w:szCs w:val="28"/>
          <w:highlight w:val="none"/>
        </w:rPr>
        <w:t>定额</w:t>
      </w:r>
      <w:r>
        <w:rPr>
          <w:rFonts w:hint="eastAsia" w:asciiTheme="minorEastAsia" w:hAnsiTheme="minorEastAsia" w:eastAsiaTheme="minorEastAsia" w:cstheme="minorEastAsia"/>
          <w:color w:val="auto"/>
          <w:sz w:val="28"/>
          <w:szCs w:val="28"/>
          <w:highlight w:val="none"/>
          <w:lang w:eastAsia="zh-CN"/>
        </w:rPr>
        <w:t>、信息价或市场价等</w:t>
      </w:r>
      <w:r>
        <w:rPr>
          <w:rFonts w:hint="eastAsia" w:asciiTheme="minorEastAsia" w:hAnsiTheme="minorEastAsia" w:eastAsiaTheme="minorEastAsia" w:cstheme="minorEastAsia"/>
          <w:color w:val="auto"/>
          <w:sz w:val="28"/>
          <w:szCs w:val="28"/>
          <w:highlight w:val="none"/>
        </w:rPr>
        <w:t>计算变更</w:t>
      </w:r>
      <w:r>
        <w:rPr>
          <w:rFonts w:hint="eastAsia" w:asciiTheme="minorEastAsia" w:hAnsiTheme="minorEastAsia" w:eastAsiaTheme="minorEastAsia" w:cstheme="minorEastAsia"/>
          <w:color w:val="auto"/>
          <w:sz w:val="28"/>
          <w:szCs w:val="28"/>
          <w:highlight w:val="none"/>
          <w:lang w:val="en-US" w:eastAsia="zh-CN"/>
        </w:rPr>
        <w:t>签证部分</w:t>
      </w:r>
      <w:r>
        <w:rPr>
          <w:rFonts w:hint="eastAsia" w:asciiTheme="minorEastAsia" w:hAnsiTheme="minorEastAsia" w:eastAsiaTheme="minorEastAsia" w:cstheme="minorEastAsia"/>
          <w:color w:val="auto"/>
          <w:sz w:val="28"/>
          <w:szCs w:val="28"/>
          <w:highlight w:val="none"/>
        </w:rPr>
        <w:t>价款，新增主材由甲方认质认价，最终价格以甲方竣工结算审定为准</w:t>
      </w:r>
      <w:r>
        <w:rPr>
          <w:rFonts w:hint="eastAsia" w:asciiTheme="minorEastAsia" w:hAnsiTheme="minorEastAsia" w:eastAsiaTheme="minorEastAsia" w:cstheme="minorEastAsia"/>
          <w:color w:val="auto"/>
          <w:sz w:val="28"/>
          <w:szCs w:val="28"/>
          <w:highlight w:val="none"/>
          <w:lang w:eastAsia="zh-CN"/>
        </w:rPr>
        <w:t>。</w:t>
      </w:r>
    </w:p>
    <w:p w14:paraId="58F0C9E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lang w:val="en-US" w:eastAsia="zh-CN"/>
        </w:rPr>
        <w:t xml:space="preserve">4. </w:t>
      </w:r>
      <w:r>
        <w:rPr>
          <w:rFonts w:hint="eastAsia" w:asciiTheme="minorEastAsia" w:hAnsiTheme="minorEastAsia" w:eastAsiaTheme="minorEastAsia" w:cstheme="minorEastAsia"/>
          <w:color w:val="auto"/>
          <w:sz w:val="28"/>
          <w:szCs w:val="28"/>
          <w:highlight w:val="none"/>
        </w:rPr>
        <w:t>由乙方原因造成变更签证致使费用增加的，乙方自行承担。</w:t>
      </w:r>
    </w:p>
    <w:p w14:paraId="4AC7025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lang w:val="en-US" w:eastAsia="zh-CN"/>
        </w:rPr>
        <w:t>5.（1）如签证变更内容与原清单内容相同，结算时需按中标价/首次投标报价的优惠比例下浮;（2）如签证变更内容与原清单内容不同，结算时需按中标价/招标控制价（预算金额）的优惠比例下浮。</w:t>
      </w:r>
    </w:p>
    <w:p w14:paraId="02B4C642">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四、质量要求</w:t>
      </w:r>
    </w:p>
    <w:bookmarkEnd w:id="0"/>
    <w:p w14:paraId="2EF771F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1．本工程质量符合国家现行有关施工质量验收规范“合格”要求，并一次性验收合格。乙方必须严格按照图纸设计要求和国家颁发的建筑工程规范、规定和标准进行施工，并接受甲方派驻现场代表的监督</w:t>
      </w:r>
      <w:r>
        <w:rPr>
          <w:rFonts w:hint="eastAsia" w:asciiTheme="minorEastAsia" w:hAnsiTheme="minorEastAsia" w:eastAsiaTheme="minorEastAsia" w:cstheme="minorEastAsia"/>
          <w:color w:val="auto"/>
          <w:sz w:val="28"/>
          <w:szCs w:val="28"/>
          <w:highlight w:val="none"/>
          <w:lang w:eastAsia="zh-CN"/>
        </w:rPr>
        <w:t>。</w:t>
      </w:r>
    </w:p>
    <w:p w14:paraId="343B6B2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2．对于在检查检验过程中发现的工程质量达不到约定标准的部分，乙方应根据甲方要求进行返工，直到符合约定标准</w:t>
      </w:r>
      <w:r>
        <w:rPr>
          <w:rFonts w:hint="eastAsia" w:asciiTheme="minorEastAsia" w:hAnsiTheme="minorEastAsia" w:eastAsiaTheme="minorEastAsia" w:cstheme="minorEastAsia"/>
          <w:color w:val="auto"/>
          <w:sz w:val="28"/>
          <w:szCs w:val="28"/>
          <w:highlight w:val="none"/>
          <w:lang w:eastAsia="zh-CN"/>
        </w:rPr>
        <w:t>。</w:t>
      </w:r>
    </w:p>
    <w:p w14:paraId="6FAB313C">
      <w:pPr>
        <w:pStyle w:val="6"/>
        <w:numPr>
          <w:ilvl w:val="0"/>
          <w:numId w:val="0"/>
        </w:numPr>
        <w:spacing w:line="360" w:lineRule="auto"/>
        <w:ind w:leftChars="0" w:firstLine="560" w:firstLineChars="20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color w:val="auto"/>
          <w:sz w:val="28"/>
          <w:szCs w:val="28"/>
          <w:highlight w:val="none"/>
        </w:rPr>
        <w:t>3．由乙方负责采购的主材应提供材料合格证等有效质量证明材料。如发现主材的规格、数量、质量有任何问题，乙方需无条件更换，并承</w:t>
      </w:r>
      <w:r>
        <w:rPr>
          <w:rFonts w:hint="eastAsia" w:asciiTheme="minorEastAsia" w:hAnsiTheme="minorEastAsia" w:eastAsiaTheme="minorEastAsia" w:cstheme="minorEastAsia"/>
          <w:color w:val="auto"/>
          <w:sz w:val="28"/>
          <w:szCs w:val="28"/>
          <w:highlight w:val="none"/>
          <w:lang w:val="en-US" w:eastAsia="zh-CN"/>
        </w:rPr>
        <w:t>担一切责任。</w:t>
      </w:r>
      <w:r>
        <w:rPr>
          <w:rFonts w:hint="eastAsia" w:asciiTheme="minorEastAsia" w:hAnsiTheme="minorEastAsia" w:eastAsiaTheme="minorEastAsia" w:cstheme="minorEastAsia"/>
          <w:color w:val="auto"/>
          <w:sz w:val="28"/>
          <w:szCs w:val="28"/>
          <w:highlight w:val="none"/>
        </w:rPr>
        <w:t>因乙方施工不善或材料使用不当发生工程事故及人员伤害的，责任和由此而发生的各种费用由乙方全部承担。</w:t>
      </w:r>
    </w:p>
    <w:p w14:paraId="422F6694">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五、甲方责任</w:t>
      </w:r>
    </w:p>
    <w:p w14:paraId="274954ED">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1．甲方提供施工用水用电接口，并装表计量施工产生的水电费。</w:t>
      </w:r>
    </w:p>
    <w:p w14:paraId="17C5595D">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2．工程竣工验收后，甲方应及时按照合同约定支付工程款。</w:t>
      </w:r>
    </w:p>
    <w:p w14:paraId="3A07F509">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3．开工前甲方应向乙方进行现场情况交底，提供施工场地，协助乙方办理进场施工的相关手续。</w:t>
      </w:r>
    </w:p>
    <w:p w14:paraId="05A9874C">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4．甲方派驻施工现场代表对工程全过程进行监督、验收和施工现场、周边环境的协调。</w:t>
      </w:r>
    </w:p>
    <w:p w14:paraId="602112DF">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5．如因甲方原因、设计及不可抗力导致施工中断，工期应顺延。</w:t>
      </w:r>
    </w:p>
    <w:p w14:paraId="12C857DE">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lang w:val="en-US" w:eastAsia="zh-CN"/>
        </w:rPr>
      </w:pPr>
      <w:r>
        <w:rPr>
          <w:rFonts w:hint="eastAsia" w:asciiTheme="minorEastAsia" w:hAnsiTheme="minorEastAsia" w:eastAsiaTheme="minorEastAsia" w:cstheme="minorEastAsia"/>
          <w:b/>
          <w:bCs/>
          <w:color w:val="auto"/>
          <w:sz w:val="28"/>
          <w:szCs w:val="28"/>
          <w:highlight w:val="none"/>
          <w:lang w:val="en-US" w:eastAsia="zh-CN"/>
        </w:rPr>
        <w:t>六、乙方责任</w:t>
      </w:r>
    </w:p>
    <w:p w14:paraId="1D981270">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1. 施工期间的所有安全问题以及由此而发生的各种费用由乙方全部负责和承担。</w:t>
      </w:r>
    </w:p>
    <w:p w14:paraId="625EC008">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2. 乙方须提供主材的合格证等质量证明资料，材料进场时，应经甲方代表验收确认合格后方可施工。如材料质量、规格与招标文件或图纸不符，乙方无条件更换，并承担工期延误责任。</w:t>
      </w:r>
    </w:p>
    <w:p w14:paraId="626CC4FB">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3. 乙方每完成一道工序，需经甲方代表在验收记录单签字确认后，方可进行下一道工序。</w:t>
      </w:r>
    </w:p>
    <w:p w14:paraId="7611F720">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4．施工过程中产生的建筑垃圾应放至物业指定地点并及时清理。如因天气等原因不能及时清运，应采取覆盖、装袋等保护措施。</w:t>
      </w:r>
    </w:p>
    <w:p w14:paraId="564072F9">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5.</w:t>
      </w:r>
      <w:bookmarkStart w:id="1" w:name="OLE_LINK5"/>
      <w:r>
        <w:rPr>
          <w:rFonts w:hint="eastAsia" w:asciiTheme="minorEastAsia" w:hAnsiTheme="minorEastAsia" w:eastAsiaTheme="minorEastAsia" w:cstheme="minorEastAsia"/>
          <w:color w:val="auto"/>
          <w:sz w:val="28"/>
          <w:szCs w:val="28"/>
          <w:highlight w:val="none"/>
          <w:lang w:val="en-US" w:eastAsia="zh-CN"/>
        </w:rPr>
        <w:t xml:space="preserve"> 乙方应按照水电表计量数向甲方缴纳水电费，其中水费5.80元/吨，电费0.80元/度</w:t>
      </w:r>
      <w:bookmarkEnd w:id="1"/>
      <w:r>
        <w:rPr>
          <w:rFonts w:hint="eastAsia" w:asciiTheme="minorEastAsia" w:hAnsiTheme="minorEastAsia" w:eastAsiaTheme="minorEastAsia" w:cstheme="minorEastAsia"/>
          <w:color w:val="auto"/>
          <w:sz w:val="28"/>
          <w:szCs w:val="28"/>
          <w:highlight w:val="none"/>
          <w:lang w:val="en-US" w:eastAsia="zh-CN"/>
        </w:rPr>
        <w:t>。</w:t>
      </w:r>
    </w:p>
    <w:p w14:paraId="0F75A49B">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6. 安全条款</w:t>
      </w:r>
    </w:p>
    <w:p w14:paraId="001A15A4">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（1）乙方须指定施工现场安全负责人和监督员，并在甲方备案；</w:t>
      </w:r>
    </w:p>
    <w:p w14:paraId="496C861B">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（2）施工前，乙方安全负责人必须对施工人员进行安全教育；</w:t>
      </w:r>
    </w:p>
    <w:p w14:paraId="6EE8733A">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（3）乙方施工人员进工地必须统一管理，特种作业人员（</w:t>
      </w:r>
      <w:r>
        <w:rPr>
          <w:rFonts w:hint="eastAsia" w:asciiTheme="minorEastAsia" w:hAnsiTheme="minorEastAsia" w:eastAsiaTheme="minorEastAsia" w:cstheme="minorEastAsia"/>
          <w:color w:val="auto"/>
          <w:sz w:val="28"/>
          <w:szCs w:val="28"/>
          <w:highlight w:val="none"/>
          <w:lang w:val="en-US" w:eastAsia="zh-CN"/>
        </w:rPr>
        <w:fldChar w:fldCharType="begin"/>
      </w:r>
      <w:r>
        <w:rPr>
          <w:rFonts w:hint="eastAsia" w:asciiTheme="minorEastAsia" w:hAnsiTheme="minorEastAsia" w:eastAsiaTheme="minorEastAsia" w:cstheme="minorEastAsia"/>
          <w:color w:val="auto"/>
          <w:sz w:val="28"/>
          <w:szCs w:val="28"/>
          <w:highlight w:val="none"/>
          <w:lang w:val="en-US" w:eastAsia="zh-CN"/>
        </w:rPr>
        <w:instrText xml:space="preserve"> HYPERLINK "http://www.baidu.com/s?wd=%E7%94%B5%E5%B7%A5%E4%BD%9C%E4%B8%9A&amp;hl_tag=textlink&amp;tn=SE_hldp01350_v6v6zkg6" </w:instrText>
      </w:r>
      <w:r>
        <w:rPr>
          <w:rFonts w:hint="eastAsia" w:asciiTheme="minorEastAsia" w:hAnsiTheme="minorEastAsia" w:eastAsiaTheme="minorEastAsia" w:cstheme="minorEastAsia"/>
          <w:color w:val="auto"/>
          <w:sz w:val="28"/>
          <w:szCs w:val="28"/>
          <w:highlight w:val="none"/>
          <w:lang w:val="en-US" w:eastAsia="zh-CN"/>
        </w:rPr>
        <w:fldChar w:fldCharType="separate"/>
      </w:r>
      <w:r>
        <w:rPr>
          <w:rFonts w:hint="eastAsia" w:asciiTheme="minorEastAsia" w:hAnsiTheme="minorEastAsia" w:eastAsiaTheme="minorEastAsia" w:cstheme="minorEastAsia"/>
          <w:color w:val="auto"/>
          <w:sz w:val="28"/>
          <w:szCs w:val="28"/>
          <w:highlight w:val="none"/>
          <w:lang w:val="en-US" w:eastAsia="zh-CN"/>
        </w:rPr>
        <w:t>电工作业</w:t>
      </w:r>
      <w:r>
        <w:rPr>
          <w:rFonts w:hint="eastAsia" w:asciiTheme="minorEastAsia" w:hAnsiTheme="minorEastAsia" w:eastAsiaTheme="minorEastAsia" w:cstheme="minorEastAsia"/>
          <w:color w:val="auto"/>
          <w:sz w:val="28"/>
          <w:szCs w:val="28"/>
          <w:highlight w:val="none"/>
          <w:lang w:val="en-US" w:eastAsia="zh-CN"/>
        </w:rPr>
        <w:fldChar w:fldCharType="end"/>
      </w:r>
      <w:r>
        <w:rPr>
          <w:rFonts w:hint="eastAsia" w:asciiTheme="minorEastAsia" w:hAnsiTheme="minorEastAsia" w:eastAsiaTheme="minorEastAsia" w:cstheme="minorEastAsia"/>
          <w:color w:val="auto"/>
          <w:sz w:val="28"/>
          <w:szCs w:val="28"/>
          <w:highlight w:val="none"/>
          <w:lang w:val="en-US" w:eastAsia="zh-CN"/>
        </w:rPr>
        <w:t>人员、锅炉司炉、操作</w:t>
      </w:r>
      <w:r>
        <w:rPr>
          <w:rFonts w:hint="eastAsia" w:asciiTheme="minorEastAsia" w:hAnsiTheme="minorEastAsia" w:eastAsiaTheme="minorEastAsia" w:cstheme="minorEastAsia"/>
          <w:color w:val="auto"/>
          <w:sz w:val="28"/>
          <w:szCs w:val="28"/>
          <w:highlight w:val="none"/>
          <w:lang w:val="en-US" w:eastAsia="zh-CN"/>
        </w:rPr>
        <w:fldChar w:fldCharType="begin"/>
      </w:r>
      <w:r>
        <w:rPr>
          <w:rFonts w:hint="eastAsia" w:asciiTheme="minorEastAsia" w:hAnsiTheme="minorEastAsia" w:eastAsiaTheme="minorEastAsia" w:cstheme="minorEastAsia"/>
          <w:color w:val="auto"/>
          <w:sz w:val="28"/>
          <w:szCs w:val="28"/>
          <w:highlight w:val="none"/>
          <w:lang w:val="en-US" w:eastAsia="zh-CN"/>
        </w:rPr>
        <w:instrText xml:space="preserve"> HYPERLINK "http://www.baidu.com/s?wd=%E5%8E%8B%E5%8A%9B%E5%AE%B9%E5%99%A8&amp;hl_tag=textlink&amp;tn=SE_hldp01350_v6v6zkg6" </w:instrText>
      </w:r>
      <w:r>
        <w:rPr>
          <w:rFonts w:hint="eastAsia" w:asciiTheme="minorEastAsia" w:hAnsiTheme="minorEastAsia" w:eastAsiaTheme="minorEastAsia" w:cstheme="minorEastAsia"/>
          <w:color w:val="auto"/>
          <w:sz w:val="28"/>
          <w:szCs w:val="28"/>
          <w:highlight w:val="none"/>
          <w:lang w:val="en-US" w:eastAsia="zh-CN"/>
        </w:rPr>
        <w:fldChar w:fldCharType="separate"/>
      </w:r>
      <w:r>
        <w:rPr>
          <w:rFonts w:hint="eastAsia" w:asciiTheme="minorEastAsia" w:hAnsiTheme="minorEastAsia" w:eastAsiaTheme="minorEastAsia" w:cstheme="minorEastAsia"/>
          <w:color w:val="auto"/>
          <w:sz w:val="28"/>
          <w:szCs w:val="28"/>
          <w:highlight w:val="none"/>
          <w:lang w:val="en-US" w:eastAsia="zh-CN"/>
        </w:rPr>
        <w:t>压力容器</w:t>
      </w:r>
      <w:r>
        <w:rPr>
          <w:rFonts w:hint="eastAsia" w:asciiTheme="minorEastAsia" w:hAnsiTheme="minorEastAsia" w:eastAsiaTheme="minorEastAsia" w:cstheme="minorEastAsia"/>
          <w:color w:val="auto"/>
          <w:sz w:val="28"/>
          <w:szCs w:val="28"/>
          <w:highlight w:val="none"/>
          <w:lang w:val="en-US" w:eastAsia="zh-CN"/>
        </w:rPr>
        <w:fldChar w:fldCharType="end"/>
      </w:r>
      <w:r>
        <w:rPr>
          <w:rFonts w:hint="eastAsia" w:asciiTheme="minorEastAsia" w:hAnsiTheme="minorEastAsia" w:eastAsiaTheme="minorEastAsia" w:cstheme="minorEastAsia"/>
          <w:color w:val="auto"/>
          <w:sz w:val="28"/>
          <w:szCs w:val="28"/>
          <w:highlight w:val="none"/>
          <w:lang w:val="en-US" w:eastAsia="zh-CN"/>
        </w:rPr>
        <w:t>者、起重</w:t>
      </w:r>
      <w:r>
        <w:rPr>
          <w:rFonts w:hint="eastAsia" w:asciiTheme="minorEastAsia" w:hAnsiTheme="minorEastAsia" w:eastAsiaTheme="minorEastAsia" w:cstheme="minorEastAsia"/>
          <w:color w:val="auto"/>
          <w:sz w:val="28"/>
          <w:szCs w:val="28"/>
          <w:highlight w:val="none"/>
          <w:lang w:val="en-US" w:eastAsia="zh-CN"/>
        </w:rPr>
        <w:fldChar w:fldCharType="begin"/>
      </w:r>
      <w:r>
        <w:rPr>
          <w:rFonts w:hint="eastAsia" w:asciiTheme="minorEastAsia" w:hAnsiTheme="minorEastAsia" w:eastAsiaTheme="minorEastAsia" w:cstheme="minorEastAsia"/>
          <w:color w:val="auto"/>
          <w:sz w:val="28"/>
          <w:szCs w:val="28"/>
          <w:highlight w:val="none"/>
          <w:lang w:val="en-US" w:eastAsia="zh-CN"/>
        </w:rPr>
        <w:instrText xml:space="preserve"> HYPERLINK "http://www.baidu.com/s?wd=%E6%9C%BA%E6%A2%B0%E4%BD%9C%E4%B8%9A&amp;hl_tag=textlink&amp;tn=SE_hldp01350_v6v6zkg6" </w:instrText>
      </w:r>
      <w:r>
        <w:rPr>
          <w:rFonts w:hint="eastAsia" w:asciiTheme="minorEastAsia" w:hAnsiTheme="minorEastAsia" w:eastAsiaTheme="minorEastAsia" w:cstheme="minorEastAsia"/>
          <w:color w:val="auto"/>
          <w:sz w:val="28"/>
          <w:szCs w:val="28"/>
          <w:highlight w:val="none"/>
          <w:lang w:val="en-US" w:eastAsia="zh-CN"/>
        </w:rPr>
        <w:fldChar w:fldCharType="separate"/>
      </w:r>
      <w:r>
        <w:rPr>
          <w:rFonts w:hint="eastAsia" w:asciiTheme="minorEastAsia" w:hAnsiTheme="minorEastAsia" w:eastAsiaTheme="minorEastAsia" w:cstheme="minorEastAsia"/>
          <w:color w:val="auto"/>
          <w:sz w:val="28"/>
          <w:szCs w:val="28"/>
          <w:highlight w:val="none"/>
          <w:lang w:val="en-US" w:eastAsia="zh-CN"/>
        </w:rPr>
        <w:t>机械作业</w:t>
      </w:r>
      <w:r>
        <w:rPr>
          <w:rFonts w:hint="eastAsia" w:asciiTheme="minorEastAsia" w:hAnsiTheme="minorEastAsia" w:eastAsiaTheme="minorEastAsia" w:cstheme="minorEastAsia"/>
          <w:color w:val="auto"/>
          <w:sz w:val="28"/>
          <w:szCs w:val="28"/>
          <w:highlight w:val="none"/>
          <w:lang w:val="en-US" w:eastAsia="zh-CN"/>
        </w:rPr>
        <w:fldChar w:fldCharType="end"/>
      </w:r>
      <w:r>
        <w:rPr>
          <w:rFonts w:hint="eastAsia" w:asciiTheme="minorEastAsia" w:hAnsiTheme="minorEastAsia" w:eastAsiaTheme="minorEastAsia" w:cstheme="minorEastAsia"/>
          <w:color w:val="auto"/>
          <w:sz w:val="28"/>
          <w:szCs w:val="28"/>
          <w:highlight w:val="none"/>
          <w:lang w:val="en-US" w:eastAsia="zh-CN"/>
        </w:rPr>
        <w:t>人员、金属焊接（气割）作业人员、机动车辆驾驶人员、建筑登高架设作业者等）必须持证上岗，便于甲方监管；</w:t>
      </w:r>
    </w:p>
    <w:p w14:paraId="0E90652D">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 xml:space="preserve">（4）乙方应在施工区域设置明显标志，并对集中性施工项目做封闭管理，严禁施工人员以外的人进入施工场地。施工人员应在施工区域内活动，不得随意进入非施工区域； </w:t>
      </w:r>
    </w:p>
    <w:p w14:paraId="6442FF32">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（5）开工前，乙方须为施工工人购买意外团体等保险，并编制安全措施计划及安全专项方案，乙方在施工中使用的安全防护器材及劳动防护用品、用具的产品质量、配备数量等均应符合安全、职业和卫生要求；</w:t>
      </w:r>
    </w:p>
    <w:p w14:paraId="0B1BCBDA">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（6）施工过程中，甲方有权随时进行检查，有权制止违章作业，有权对违反安全规定的行为进行处罚或责令施工队伍停工整顿；</w:t>
      </w:r>
    </w:p>
    <w:p w14:paraId="3112CB07">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（7）乙方应采取严格的安全防护措施。施工过程中，如对施工人员或第三人造成人身伤害及财产损失，责任和由此而发生的费用，均由乙方承担；</w:t>
      </w:r>
    </w:p>
    <w:p w14:paraId="60EB28B1">
      <w:pPr>
        <w:spacing w:line="360" w:lineRule="auto"/>
        <w:ind w:firstLine="420" w:firstLineChars="150"/>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（8）乙方必须对施工现场及其周边的各类设施、设备进行保护，损坏物品照价赔偿。</w:t>
      </w:r>
    </w:p>
    <w:p w14:paraId="37CB882A">
      <w:pPr>
        <w:pStyle w:val="2"/>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七、工程竣工验收与结算</w:t>
      </w:r>
    </w:p>
    <w:p w14:paraId="3756028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1.竣工验收</w:t>
      </w:r>
    </w:p>
    <w:p w14:paraId="2B47208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工程完工后，甲方在竣工当日由现场负责人、使用单位进行初验，并对提出的问题进行整改。整改完毕，经现场负责人核实无误后，乙方提交维修改造工程竣工验收</w:t>
      </w:r>
      <w:r>
        <w:rPr>
          <w:rFonts w:hint="eastAsia" w:asciiTheme="minorEastAsia" w:hAnsiTheme="minorEastAsia" w:eastAsiaTheme="minorEastAsia" w:cstheme="minorEastAsia"/>
          <w:color w:val="auto"/>
          <w:sz w:val="28"/>
          <w:szCs w:val="28"/>
          <w:highlight w:val="none"/>
          <w:lang w:eastAsia="zh-CN"/>
        </w:rPr>
        <w:t>申请、</w:t>
      </w:r>
      <w:r>
        <w:rPr>
          <w:rFonts w:hint="eastAsia" w:asciiTheme="minorEastAsia" w:hAnsiTheme="minorEastAsia" w:eastAsiaTheme="minorEastAsia" w:cstheme="minorEastAsia"/>
          <w:color w:val="auto"/>
          <w:sz w:val="28"/>
          <w:szCs w:val="28"/>
          <w:highlight w:val="none"/>
          <w:lang w:val="en-US" w:eastAsia="zh-CN"/>
        </w:rPr>
        <w:t>竣工图、隐蔽工程影像资料、</w:t>
      </w:r>
      <w:r>
        <w:rPr>
          <w:rFonts w:hint="eastAsia" w:asciiTheme="minorEastAsia" w:hAnsiTheme="minorEastAsia" w:eastAsiaTheme="minorEastAsia" w:cstheme="minorEastAsia"/>
          <w:color w:val="auto"/>
          <w:sz w:val="28"/>
          <w:szCs w:val="28"/>
          <w:highlight w:val="none"/>
        </w:rPr>
        <w:t>《维修项目施工工序验收记录表》、《维修项目主要材料验收记录表》等，甲方</w:t>
      </w:r>
      <w:r>
        <w:rPr>
          <w:rFonts w:hint="eastAsia" w:asciiTheme="minorEastAsia" w:hAnsiTheme="minorEastAsia" w:eastAsiaTheme="minorEastAsia" w:cstheme="minorEastAsia"/>
          <w:color w:val="auto"/>
          <w:sz w:val="28"/>
          <w:szCs w:val="28"/>
          <w:highlight w:val="none"/>
          <w:lang w:val="en-US" w:eastAsia="zh-CN"/>
        </w:rPr>
        <w:t>28天</w:t>
      </w:r>
      <w:r>
        <w:rPr>
          <w:rFonts w:hint="eastAsia" w:asciiTheme="minorEastAsia" w:hAnsiTheme="minorEastAsia" w:eastAsiaTheme="minorEastAsia" w:cstheme="minorEastAsia"/>
          <w:color w:val="auto"/>
          <w:sz w:val="28"/>
          <w:szCs w:val="28"/>
          <w:highlight w:val="none"/>
        </w:rPr>
        <w:t>内组织校内相关部门进行竣工验收</w:t>
      </w:r>
      <w:r>
        <w:rPr>
          <w:rFonts w:hint="eastAsia" w:asciiTheme="minorEastAsia" w:hAnsiTheme="minorEastAsia" w:eastAsiaTheme="minorEastAsia" w:cstheme="minorEastAsia"/>
          <w:color w:val="auto"/>
          <w:sz w:val="28"/>
          <w:szCs w:val="28"/>
          <w:highlight w:val="none"/>
          <w:lang w:eastAsia="zh-CN"/>
        </w:rPr>
        <w:t>，形成《维修改造项目竣工验收报告》。</w:t>
      </w:r>
    </w:p>
    <w:p w14:paraId="7FC26C8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2.竣工结算</w:t>
      </w:r>
    </w:p>
    <w:p w14:paraId="46C49F6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乙方应在工程施工期间至竣工验收前向甲方递交施工图、签证单、认价单、竣工图、竣工验收报告等，并于竣工验收通过后28天内向甲方提交工程结算资料，所有工程量按照结算资料及现场情况据实结算，经由甲方审计处出具审计意见书后，后勤处维修管理科及时办理资产建账、归档、支付工程款等。</w:t>
      </w:r>
    </w:p>
    <w:p w14:paraId="1892474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lang w:val="en-US" w:eastAsia="zh-CN"/>
        </w:rPr>
        <w:t>八</w:t>
      </w:r>
      <w:r>
        <w:rPr>
          <w:rFonts w:hint="eastAsia" w:asciiTheme="minorEastAsia" w:hAnsiTheme="minorEastAsia" w:eastAsiaTheme="minorEastAsia" w:cstheme="minorEastAsia"/>
          <w:b/>
          <w:bCs/>
          <w:color w:val="auto"/>
          <w:sz w:val="28"/>
          <w:szCs w:val="28"/>
          <w:highlight w:val="none"/>
        </w:rPr>
        <w:t>、保修条款</w:t>
      </w:r>
    </w:p>
    <w:p w14:paraId="4E5FA9CC">
      <w:pPr>
        <w:keepNext w:val="0"/>
        <w:keepLines w:val="0"/>
        <w:pageBreakBefore w:val="0"/>
        <w:widowControl w:val="0"/>
        <w:kinsoku/>
        <w:wordWrap/>
        <w:overflowPunct/>
        <w:topLinePunct w:val="0"/>
        <w:autoSpaceDE/>
        <w:autoSpaceDN/>
        <w:bidi w:val="0"/>
        <w:adjustRightInd/>
        <w:snapToGrid/>
        <w:spacing w:line="360" w:lineRule="auto"/>
        <w:ind w:firstLine="630"/>
        <w:textAlignment w:val="auto"/>
        <w:rPr>
          <w:rFonts w:hint="eastAsia" w:asciiTheme="minorEastAsia" w:hAnsiTheme="minorEastAsia" w:eastAsiaTheme="minorEastAsia" w:cstheme="minorEastAsia"/>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rPr>
        <w:t>在甲方正常使用的情况下</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乙方承担本工程的保修期为</w:t>
      </w:r>
      <w:r>
        <w:rPr>
          <w:rFonts w:hint="eastAsia" w:asciiTheme="minorEastAsia" w:hAnsiTheme="minorEastAsia" w:eastAsiaTheme="minorEastAsia" w:cstheme="minorEastAsia"/>
          <w:color w:val="auto"/>
          <w:sz w:val="28"/>
          <w:szCs w:val="28"/>
          <w:highlight w:val="none"/>
          <w:lang w:val="en-US" w:eastAsia="zh-CN"/>
        </w:rPr>
        <w:t>十二</w:t>
      </w:r>
      <w:r>
        <w:rPr>
          <w:rFonts w:hint="eastAsia" w:asciiTheme="minorEastAsia" w:hAnsiTheme="minorEastAsia" w:eastAsiaTheme="minorEastAsia" w:cstheme="minorEastAsia"/>
          <w:color w:val="auto"/>
          <w:sz w:val="28"/>
          <w:szCs w:val="28"/>
          <w:highlight w:val="none"/>
        </w:rPr>
        <w:t>个月</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保修期自</w:t>
      </w:r>
      <w:r>
        <w:rPr>
          <w:rFonts w:hint="eastAsia" w:asciiTheme="minorEastAsia" w:hAnsiTheme="minorEastAsia" w:eastAsiaTheme="minorEastAsia" w:cstheme="minorEastAsia"/>
          <w:color w:val="auto"/>
          <w:sz w:val="28"/>
          <w:szCs w:val="28"/>
          <w:highlight w:val="none"/>
          <w:lang w:eastAsia="zh-CN"/>
        </w:rPr>
        <w:t>竣工</w:t>
      </w:r>
      <w:r>
        <w:rPr>
          <w:rFonts w:hint="eastAsia" w:asciiTheme="minorEastAsia" w:hAnsiTheme="minorEastAsia" w:eastAsiaTheme="minorEastAsia" w:cstheme="minorEastAsia"/>
          <w:color w:val="auto"/>
          <w:sz w:val="28"/>
          <w:szCs w:val="28"/>
          <w:highlight w:val="none"/>
        </w:rPr>
        <w:t>验收合格之日算起。在下列情况下</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乙方免除免费保修义务</w:t>
      </w:r>
      <w:r>
        <w:rPr>
          <w:rFonts w:hint="eastAsia" w:asciiTheme="minorEastAsia" w:hAnsiTheme="minorEastAsia" w:eastAsiaTheme="minorEastAsia" w:cstheme="minorEastAsia"/>
          <w:color w:val="auto"/>
          <w:sz w:val="28"/>
          <w:szCs w:val="28"/>
          <w:highlight w:val="none"/>
          <w:lang w:eastAsia="zh-CN"/>
        </w:rPr>
        <w:t>：</w:t>
      </w:r>
    </w:p>
    <w:p w14:paraId="4ECE9E5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3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由于人为因素造成的故障</w:t>
      </w:r>
      <w:r>
        <w:rPr>
          <w:rFonts w:hint="eastAsia" w:asciiTheme="minorEastAsia" w:hAnsiTheme="minorEastAsia" w:eastAsiaTheme="minorEastAsia" w:cstheme="minorEastAsia"/>
          <w:color w:val="auto"/>
          <w:sz w:val="28"/>
          <w:szCs w:val="28"/>
          <w:highlight w:val="none"/>
          <w:lang w:eastAsia="zh-CN"/>
        </w:rPr>
        <w:t>。</w:t>
      </w:r>
    </w:p>
    <w:p w14:paraId="36895DD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3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由于违章操作而造成的故障</w:t>
      </w:r>
      <w:r>
        <w:rPr>
          <w:rFonts w:hint="eastAsia" w:asciiTheme="minorEastAsia" w:hAnsiTheme="minorEastAsia" w:eastAsiaTheme="minorEastAsia" w:cstheme="minorEastAsia"/>
          <w:color w:val="auto"/>
          <w:sz w:val="28"/>
          <w:szCs w:val="28"/>
          <w:highlight w:val="none"/>
          <w:lang w:eastAsia="zh-CN"/>
        </w:rPr>
        <w:t>。</w:t>
      </w:r>
    </w:p>
    <w:p w14:paraId="1E9A3F5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本工程需维修时</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乙方应在接到通知时起，24小时内到达现场服务。否则甲方可委托其他单位或人员修理。因乙方原因造成的维修费用</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由乙方</w:t>
      </w:r>
      <w:r>
        <w:rPr>
          <w:rFonts w:hint="eastAsia" w:asciiTheme="minorEastAsia" w:hAnsiTheme="minorEastAsia" w:eastAsiaTheme="minorEastAsia" w:cstheme="minorEastAsia"/>
          <w:color w:val="auto"/>
          <w:sz w:val="28"/>
          <w:szCs w:val="28"/>
          <w:highlight w:val="none"/>
          <w:lang w:eastAsia="zh-CN"/>
        </w:rPr>
        <w:t>承担，</w:t>
      </w:r>
      <w:r>
        <w:rPr>
          <w:rFonts w:hint="eastAsia" w:asciiTheme="minorEastAsia" w:hAnsiTheme="minorEastAsia" w:eastAsiaTheme="minorEastAsia" w:cstheme="minorEastAsia"/>
          <w:color w:val="auto"/>
          <w:sz w:val="28"/>
          <w:szCs w:val="28"/>
          <w:highlight w:val="none"/>
        </w:rPr>
        <w:t>非乙方原因造成返修的经济支出，由甲方承担。</w:t>
      </w:r>
    </w:p>
    <w:p w14:paraId="475B844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lang w:val="en-US" w:eastAsia="zh-CN"/>
        </w:rPr>
        <w:t>九</w:t>
      </w:r>
      <w:r>
        <w:rPr>
          <w:rFonts w:hint="eastAsia" w:asciiTheme="minorEastAsia" w:hAnsiTheme="minorEastAsia" w:eastAsiaTheme="minorEastAsia" w:cstheme="minorEastAsia"/>
          <w:b/>
          <w:bCs/>
          <w:color w:val="auto"/>
          <w:sz w:val="28"/>
          <w:szCs w:val="28"/>
          <w:highlight w:val="none"/>
        </w:rPr>
        <w:t>、解决纠纷的方式</w:t>
      </w:r>
    </w:p>
    <w:p w14:paraId="400038B2">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本合同在履行期间，双方发生争议时，在不影响工程进度的前提下，双方可采取协商解决或请有关部门进行调解。不愿通过协商、调解解决或者协商、调解不成时，双方均可向工程所在地人民法院提起诉讼。</w:t>
      </w:r>
    </w:p>
    <w:p w14:paraId="5423FD18">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Theme="minorEastAsia" w:hAnsiTheme="minorEastAsia" w:eastAsiaTheme="minorEastAsia" w:cstheme="minorEastAsia"/>
          <w:b/>
          <w:bCs/>
          <w:color w:val="auto"/>
          <w:sz w:val="28"/>
          <w:szCs w:val="28"/>
          <w:highlight w:val="none"/>
          <w:lang w:eastAsia="zh-CN"/>
        </w:rPr>
      </w:pPr>
      <w:r>
        <w:rPr>
          <w:rFonts w:hint="eastAsia" w:asciiTheme="minorEastAsia" w:hAnsiTheme="minorEastAsia" w:eastAsiaTheme="minorEastAsia" w:cstheme="minorEastAsia"/>
          <w:b/>
          <w:bCs/>
          <w:color w:val="auto"/>
          <w:sz w:val="28"/>
          <w:szCs w:val="28"/>
          <w:highlight w:val="none"/>
          <w:lang w:val="en-US" w:eastAsia="zh-CN"/>
        </w:rPr>
        <w:t>十</w:t>
      </w:r>
      <w:r>
        <w:rPr>
          <w:rFonts w:hint="eastAsia" w:asciiTheme="minorEastAsia" w:hAnsiTheme="minorEastAsia" w:eastAsiaTheme="minorEastAsia" w:cstheme="minorEastAsia"/>
          <w:b/>
          <w:bCs/>
          <w:color w:val="auto"/>
          <w:sz w:val="28"/>
          <w:szCs w:val="28"/>
          <w:highlight w:val="none"/>
        </w:rPr>
        <w:t>、合同生效</w:t>
      </w:r>
    </w:p>
    <w:p w14:paraId="3DAAFFE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本合同自甲乙双方签字、盖章之日起生效。一式陆份，甲方执</w:t>
      </w:r>
      <w:r>
        <w:rPr>
          <w:rFonts w:hint="eastAsia" w:asciiTheme="minorEastAsia" w:hAnsiTheme="minorEastAsia" w:eastAsiaTheme="minorEastAsia" w:cstheme="minorEastAsia"/>
          <w:color w:val="auto"/>
          <w:sz w:val="28"/>
          <w:szCs w:val="28"/>
          <w:highlight w:val="none"/>
          <w:lang w:val="en-US" w:eastAsia="zh-CN"/>
        </w:rPr>
        <w:t>肆</w:t>
      </w:r>
      <w:r>
        <w:rPr>
          <w:rFonts w:hint="eastAsia" w:asciiTheme="minorEastAsia" w:hAnsiTheme="minorEastAsia" w:eastAsiaTheme="minorEastAsia" w:cstheme="minorEastAsia"/>
          <w:color w:val="auto"/>
          <w:sz w:val="28"/>
          <w:szCs w:val="28"/>
          <w:highlight w:val="none"/>
        </w:rPr>
        <w:t>份，乙方执</w:t>
      </w:r>
      <w:r>
        <w:rPr>
          <w:rFonts w:hint="eastAsia" w:asciiTheme="minorEastAsia" w:hAnsiTheme="minorEastAsia" w:eastAsiaTheme="minorEastAsia" w:cstheme="minorEastAsia"/>
          <w:color w:val="auto"/>
          <w:sz w:val="28"/>
          <w:szCs w:val="28"/>
          <w:highlight w:val="none"/>
          <w:lang w:val="en-US" w:eastAsia="zh-CN"/>
        </w:rPr>
        <w:t>贰</w:t>
      </w:r>
      <w:r>
        <w:rPr>
          <w:rFonts w:hint="eastAsia" w:asciiTheme="minorEastAsia" w:hAnsiTheme="minorEastAsia" w:eastAsiaTheme="minorEastAsia" w:cstheme="minorEastAsia"/>
          <w:color w:val="auto"/>
          <w:sz w:val="28"/>
          <w:szCs w:val="28"/>
          <w:highlight w:val="none"/>
        </w:rPr>
        <w:t>份，具有同等法律效力。</w:t>
      </w:r>
    </w:p>
    <w:p w14:paraId="1E5986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8"/>
          <w:szCs w:val="28"/>
          <w:highlight w:val="none"/>
        </w:rPr>
      </w:pPr>
    </w:p>
    <w:p w14:paraId="3F6D77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甲方：</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 xml:space="preserve">          乙方：</w:t>
      </w:r>
    </w:p>
    <w:p w14:paraId="195ECBD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法定代表人：                  法定代表人：</w:t>
      </w:r>
    </w:p>
    <w:p w14:paraId="37643A8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委托代理人：                  委托代理人：</w:t>
      </w:r>
    </w:p>
    <w:p w14:paraId="1F20A13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地址：</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 xml:space="preserve">    地址：</w:t>
      </w:r>
    </w:p>
    <w:p w14:paraId="2FD7E4E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电话：</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 xml:space="preserve">    </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 xml:space="preserve"> </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电话：</w:t>
      </w:r>
    </w:p>
    <w:p w14:paraId="2BCA41B8">
      <w:pPr>
        <w:keepNext w:val="0"/>
        <w:keepLines w:val="0"/>
        <w:pageBreakBefore w:val="0"/>
        <w:widowControl w:val="0"/>
        <w:kinsoku/>
        <w:wordWrap/>
        <w:overflowPunct/>
        <w:topLinePunct w:val="0"/>
        <w:autoSpaceDE/>
        <w:autoSpaceDN/>
        <w:bidi w:val="0"/>
        <w:adjustRightInd/>
        <w:snapToGrid/>
        <w:spacing w:line="360" w:lineRule="auto"/>
        <w:ind w:left="31680" w:hanging="6440" w:hangingChars="2300"/>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开户银行</w:t>
      </w:r>
      <w:r>
        <w:rPr>
          <w:rFonts w:hint="eastAsia" w:asciiTheme="minorEastAsia" w:hAnsiTheme="minorEastAsia" w:eastAsiaTheme="minorEastAsia" w:cstheme="minorEastAsia"/>
          <w:color w:val="auto"/>
          <w:sz w:val="28"/>
          <w:szCs w:val="28"/>
          <w:highlight w:val="none"/>
          <w:lang w:val="en-US" w:eastAsia="zh-CN"/>
        </w:rPr>
        <w:t>：</w:t>
      </w:r>
      <w:r>
        <w:rPr>
          <w:rFonts w:hint="eastAsia" w:asciiTheme="minorEastAsia" w:hAnsiTheme="minorEastAsia" w:eastAsiaTheme="minorEastAsia" w:cstheme="minorEastAsia"/>
          <w:color w:val="auto"/>
          <w:w w:val="80"/>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开户银行：</w:t>
      </w:r>
    </w:p>
    <w:p w14:paraId="050D266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银行账号：</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 xml:space="preserve">       银行账号：</w:t>
      </w:r>
    </w:p>
    <w:p w14:paraId="49272EA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统一社会信用代码(税号）：</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统一社会信用代码(税号）：</w:t>
      </w:r>
    </w:p>
    <w:p w14:paraId="6BBD0D2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 xml:space="preserve">           </w:t>
      </w:r>
    </w:p>
    <w:p w14:paraId="20B76E1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lang w:val="en-US" w:eastAsia="zh-CN"/>
        </w:rPr>
        <w:t>2026</w:t>
      </w:r>
      <w:r>
        <w:rPr>
          <w:rFonts w:hint="eastAsia" w:asciiTheme="minorEastAsia" w:hAnsiTheme="minorEastAsia" w:eastAsiaTheme="minorEastAsia" w:cstheme="minorEastAsia"/>
          <w:color w:val="auto"/>
          <w:sz w:val="28"/>
          <w:szCs w:val="28"/>
          <w:highlight w:val="none"/>
        </w:rPr>
        <w:t>年</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月</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 xml:space="preserve">日           </w:t>
      </w:r>
      <w:r>
        <w:rPr>
          <w:rFonts w:hint="eastAsia" w:asciiTheme="minorEastAsia" w:hAnsiTheme="minorEastAsia" w:eastAsiaTheme="minorEastAsia" w:cstheme="minorEastAsia"/>
          <w:color w:val="auto"/>
          <w:sz w:val="28"/>
          <w:szCs w:val="28"/>
          <w:highlight w:val="none"/>
          <w:lang w:val="en-US" w:eastAsia="zh-CN"/>
        </w:rPr>
        <w:t xml:space="preserve">  2026</w:t>
      </w:r>
      <w:r>
        <w:rPr>
          <w:rFonts w:hint="eastAsia" w:asciiTheme="minorEastAsia" w:hAnsiTheme="minorEastAsia" w:eastAsiaTheme="minorEastAsia" w:cstheme="minorEastAsia"/>
          <w:color w:val="auto"/>
          <w:sz w:val="28"/>
          <w:szCs w:val="28"/>
          <w:highlight w:val="none"/>
        </w:rPr>
        <w:t>年</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月</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日</w:t>
      </w:r>
    </w:p>
    <w:p w14:paraId="00425A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color w:val="auto"/>
          <w:sz w:val="24"/>
          <w:szCs w:val="24"/>
          <w:highlight w:val="none"/>
        </w:rPr>
      </w:pPr>
    </w:p>
    <w:p w14:paraId="29E59820">
      <w:pPr>
        <w:pStyle w:val="3"/>
        <w:ind w:left="0" w:leftChars="0" w:firstLine="0" w:firstLineChars="0"/>
        <w:rPr>
          <w:rFonts w:hint="eastAsia" w:ascii="宋体" w:hAnsi="宋体" w:eastAsia="宋体" w:cs="宋体"/>
          <w:color w:val="auto"/>
          <w:highlight w:val="none"/>
          <w:lang w:val="en-US" w:eastAsia="zh-Hans"/>
        </w:rPr>
      </w:pPr>
      <w:r>
        <w:rPr>
          <w:rFonts w:hint="eastAsia" w:asciiTheme="minorEastAsia" w:hAnsiTheme="minorEastAsia" w:eastAsiaTheme="minorEastAsia" w:cstheme="minorEastAsia"/>
          <w:b/>
          <w:bCs/>
          <w:color w:val="auto"/>
          <w:sz w:val="28"/>
          <w:szCs w:val="28"/>
          <w:highlight w:val="none"/>
        </w:rPr>
        <w:t>附表：</w:t>
      </w:r>
      <w:r>
        <w:rPr>
          <w:rFonts w:hint="eastAsia" w:asciiTheme="minorEastAsia" w:hAnsiTheme="minorEastAsia" w:eastAsiaTheme="minorEastAsia" w:cstheme="minorEastAsia"/>
          <w:b/>
          <w:bCs/>
          <w:color w:val="auto"/>
          <w:sz w:val="28"/>
          <w:szCs w:val="28"/>
          <w:highlight w:val="none"/>
          <w:lang w:val="en-US" w:eastAsia="zh-CN"/>
        </w:rPr>
        <w:t>工程量清单</w:t>
      </w:r>
    </w:p>
    <w:p w14:paraId="17ED5904">
      <w:pPr>
        <w:rPr>
          <w:color w:val="auto"/>
          <w:highlight w:val="none"/>
        </w:rPr>
      </w:pPr>
    </w:p>
    <w:bookmarkEnd w:id="2"/>
    <w:sectPr>
      <w:pgSz w:w="11906" w:h="16838"/>
      <w:pgMar w:top="1417" w:right="1417" w:bottom="141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414DD5"/>
    <w:multiLevelType w:val="singleLevel"/>
    <w:tmpl w:val="C8414DD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5C6FD8"/>
    <w:rsid w:val="03F52369"/>
    <w:rsid w:val="06791CD2"/>
    <w:rsid w:val="0E896714"/>
    <w:rsid w:val="3A826B97"/>
    <w:rsid w:val="3B711262"/>
    <w:rsid w:val="535C6FD8"/>
    <w:rsid w:val="67CA6CBB"/>
    <w:rsid w:val="6D571C98"/>
    <w:rsid w:val="6E521BD0"/>
    <w:rsid w:val="6F076760"/>
    <w:rsid w:val="D7FDD4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eastAsia="宋体" w:cs="宋体"/>
      <w:sz w:val="24"/>
      <w:szCs w:val="24"/>
      <w:lang w:val="en-US" w:eastAsia="zh-CN" w:bidi="ar-SA"/>
    </w:rPr>
  </w:style>
  <w:style w:type="paragraph" w:styleId="3">
    <w:name w:val="Body Text First Indent"/>
    <w:basedOn w:val="2"/>
    <w:unhideWhenUsed/>
    <w:qFormat/>
    <w:uiPriority w:val="99"/>
    <w:pPr>
      <w:spacing w:line="240" w:lineRule="auto"/>
      <w:ind w:firstLine="420" w:firstLineChars="100"/>
      <w:jc w:val="both"/>
    </w:pPr>
    <w:rPr>
      <w:rFonts w:ascii="Times New Roman" w:eastAsia="宋体"/>
      <w:sz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2822</Words>
  <Characters>2859</Characters>
  <Lines>0</Lines>
  <Paragraphs>0</Paragraphs>
  <TotalTime>336</TotalTime>
  <ScaleCrop>false</ScaleCrop>
  <LinksUpToDate>false</LinksUpToDate>
  <CharactersWithSpaces>3073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2026-06-18T12:31:00Z</dcterms:created>
  <dc:creator>hh</dc:creator>
  <cp:lastModifiedBy>馍馍窝里的娃娃</cp:lastModifiedBy>
  <dcterms:modified xsi:type="dcterms:W3CDTF">2026-08-23T02:29:30Z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3ED5FC83127646C9A6D2662C2F5CBBD5_13</vt:lpwstr>
  </property>
  <property fmtid="{D5CDD505-2E9C-101B-9397-08002B2CF9AE}" pid="4" name="KSOTemplateDocerSaveRecord">
    <vt:lpwstr>eyJoZGlkIjoiNTk5ZDM4Mzk1N2Y1ZTYxMmYyYjg1ZDUwNTRmYTA0MDYiLCJ1c2VySWQiOiI3ODQ2ODY4NzEifQ==</vt:lpwstr>
  </property>
</Properties>
</file>