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版本号：JXRC-26041420260610001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光电脉冲静态显微测量仪与航空紧固件横向振动模拟实验台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JXRC-260414</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光电脉冲静态显微测量仪与航空紧固件横向振动模拟实验台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JXRC-260414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光电脉冲静态显微测量仪与航空紧固件横向振动模拟实验台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采购包1：为满足航空、航天、轨道交通等领域高端装备可靠性研究，特别是通过“静态测量模块”与“动态测量模块”，可覆盖“静态三维重建 - 准静态变形 - 高速瞬态捕捉”全场景，能满足材料拉伸、冲击碰撞、高温服役等实验需求，计划采购光电脉冲静态显微测量仪。通过采购该设备，可以提升学院在材料力学性能、高端装备可靠性、精密成形工艺等方向的科研工作质量。同时，该设备还可用于金属材料动态冲击变形机制、复合材料高温应变演化规律等课题，通过变形参数计算、温度-应变耦合分析，获取精准的实验数据。 采购包2：为开展航空、航天、轨道交通等领域高端装备可靠性研究，特别是螺纹连接系统振动松动机理研究、防松技术开发与性能验证不可或缺的核心实验装备，计划采购此设备。同时，此设备可对承担国家级、省部级重大科研项目，以及与企业合作解决工程实际难题具有关键支撑作用。设备技术先进，集成了高性能伺服驱动系统、高精度传感器网络和高速同步数据采集控制系统，测量精度高（力、位移示值准确度±1%），响应速度快。其测试分析软件具备实时多参数显示、曲线绘制、自动判废和数据导出功能，智能化程度高。整体性能指标符合国际标准，在国内同类设备中处于领先水平，能够保证实验数据的准确性与权威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采购包1（光电脉冲静态显微测量仪）：属于专门面向中小企业采购。</w:t>
      </w:r>
    </w:p>
    <w:p>
      <w:pPr>
        <w:pStyle w:val="null3"/>
      </w:pPr>
      <w:r>
        <w:rPr>
          <w:rFonts w:ascii="仿宋_GB2312" w:hAnsi="仿宋_GB2312" w:cs="仿宋_GB2312" w:eastAsia="仿宋_GB2312"/>
        </w:rPr>
        <w:t>采购包2（航空紧固件横向振动模拟实验台）：属于专门面向中小企业采购。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采购包1：1,835,000.00元</w:t>
            </w:r>
          </w:p>
          <w:p>
            <w:pPr>
              <w:pStyle w:val="null3"/>
            </w:pPr>
            <w:r>
              <w:rPr>
                <w:rFonts w:ascii="仿宋_GB2312" w:hAnsi="仿宋_GB2312" w:cs="仿宋_GB2312" w:eastAsia="仿宋_GB2312"/>
              </w:rPr>
              <w:t>采购包2：400,000.00元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开户银行：民生银行西安分行营业部（备注：转账时须附言“260414-X包投标保证金”）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说明：本采购包履约保证金为合同金额的5.0% 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说明：本采购包履约保证金为合同金额的5.0% 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代理服务费收费标准：采购包1：参照《国家计委关于印发&lt;招标代理服务收费管理暂行办法&gt;的通知》（计价格【2002】1980号）报价依据的85%计费标准向中标人/成交人收取。 采购包2：固定金额陆仟元整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采购包1：为满足航空、航天、轨道交通等领域高端装备可靠性研究，特别是通过“静态测量模块”与“动态测量模块”，可覆盖“静态三维重建 - 准静态变形 - 高速瞬态捕捉”全场景，能满足材料拉伸、冲击碰撞、高温服役等实验需求，计划采购光电脉冲静态显微测量仪。通过采购该设备，可以提升学院在材料力学性能、高端装备可靠性、精密成形工艺等方向的科研工作质量。同时，该设备还可用于金属材料动态冲击变形机制、复合材料高温应变演化规律等课题，通过变形参数计算、温度-应变耦合分析，获取精准的实验数据。 采购包2：为开展航空、航天、轨道交通等领域高端装备可靠性研究，特别是螺纹连接系统振动松动机理研究、防松技术开发与性能验证不可或缺的核心实验装备，计划采购此设备。同时，此设备可对承担国家级、省部级重大科研项目，以及与企业合作解决工程实际难题具有关键支撑作用。设备技术先进，集成了高性能伺服驱动系统、高精度传感器网络和高速同步数据采集控制系统，测量精度高（力、位移示值准确度±1%），响应速度快。其测试分析软件具备实时多参数显示、曲线绘制、自动判废和数据导出功能，智能化程度高。整体性能指标符合国际标准，在国内同类设备中处于领先水平，能够保证实验数据的准确性与权威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1,835,000.00</w:t>
      </w:r>
    </w:p>
    <w:p>
      <w:pPr>
        <w:pStyle w:val="null3"/>
      </w:pPr>
      <w:r>
        <w:rPr>
          <w:rFonts w:ascii="仿宋_GB2312" w:hAnsi="仿宋_GB2312" w:cs="仿宋_GB2312" w:eastAsia="仿宋_GB2312"/>
        </w:rPr>
        <w:t>采购包最高限价（元）: 1,640,000.00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光电脉冲静态显微测量仪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航空紧固件横向振动模拟实验台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标的名称：光电脉冲静态显微测量仪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1.系统整体精度：3D分辨率≤20με，2D分辨率≤10με，测量范围：0.005%-2000%。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2.系统测量尺度范围：5×5mm至5×5m，图像处理计算速度≥300,000点/秒/CPU。</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3.系统具有光学测量验证标准:具有光学测量校准，可进行0位移、0应变、绝对位移、绝对应变4项参数的交付现场的自检及生成报告。</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★4.配备数字模拟采集器≥8通道同步模拟输入，同步采样≥250kHz/通道。</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▲5.每通道独立可调模拟滤波和DSP数字滤波功能，频率响应分析范围至少覆盖0～100Khz。</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▲6.数模转换器精度：ADC分辨率≥24位，非线性度≤0.05% F.S.。</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7.系统内置采集软件(非相机自带驱动)，可直接驱动和控制相机参数，采集软件包含BaslerAce、FLIR、Prosilica、Vimba等主流图像驱动。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8.采集软件应支持实时的试验散斑图像质量和数据精度的预评估功能，散斑实时量化评估不大于0.04像素。</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▲9.采集软件支持远程无线控制功能，具有独立用于iOS或Android设备的无线采集程序，同一WIFI网络不同终端可控制多个Snap系统功能。</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三维静态采集头满画幅分辨率</w:t>
            </w:r>
            <w:r>
              <w:rPr>
                <w:rFonts w:ascii="仿宋_GB2312" w:hAnsi="仿宋_GB2312" w:cs="仿宋_GB2312" w:eastAsia="仿宋_GB2312"/>
                <w:sz w:val="24"/>
              </w:rPr>
              <w:t>≤500万像素，满画幅采集频率≤75Hz，配备多尺度镜头25mm及50mm各1套；配备铝合金双相机固定装置。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动态采集头</w:t>
            </w:r>
            <w:r>
              <w:rPr>
                <w:rFonts w:ascii="仿宋_GB2312" w:hAnsi="仿宋_GB2312" w:cs="仿宋_GB2312" w:eastAsia="仿宋_GB2312"/>
                <w:sz w:val="24"/>
              </w:rPr>
              <w:t>1套，满画幅分辨率≤1280*1024，满画幅帧率≤15800fps，最小曝光≤100ns，分辨率与帧率可调，附带传输线，配备变焦镜头1套≤50mm，三脚架、调节云台1套。</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▲12.分析软件应具有高分辨率微纳米级微观形貌修正功能，能输入像素采样驻留序列间隔Dwell time和行采样序列间隔Rowtime，进行SEM图像序列分析功能。</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具有</w:t>
            </w:r>
            <w:r>
              <w:rPr>
                <w:rFonts w:ascii="仿宋_GB2312" w:hAnsi="仿宋_GB2312" w:cs="仿宋_GB2312" w:eastAsia="仿宋_GB2312"/>
                <w:sz w:val="24"/>
              </w:rPr>
              <w:t>VRO技术的多层介质自动校正功能，支持≥5阶的复杂畸变修正方法。</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子区域大小和步长建议功能</w:t>
            </w:r>
            <w:r>
              <w:rPr>
                <w:rFonts w:ascii="仿宋_GB2312" w:hAnsi="仿宋_GB2312" w:cs="仿宋_GB2312" w:eastAsia="仿宋_GB2312"/>
                <w:sz w:val="24"/>
              </w:rPr>
              <w:t>,可以提供每次计算时候准确可靠的判决，确保实验的效率和准确率。</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分析软件应具有不少于</w:t>
            </w:r>
            <w:r>
              <w:rPr>
                <w:rFonts w:ascii="仿宋_GB2312" w:hAnsi="仿宋_GB2312" w:cs="仿宋_GB2312" w:eastAsia="仿宋_GB2312"/>
                <w:sz w:val="24"/>
              </w:rPr>
              <w:t>6种关注区域选择工具，可在同一识别区内选择多个关注区域，参数可单独设置；</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可计算曲率分布、速度分布平面转动速度，应变速率以彩色云图显示形变或应变分布，并可去除刚体位移。</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分析软件预设的可计算的变量类型必须包括但不限于</w:t>
            </w:r>
            <w:r>
              <w:rPr>
                <w:rFonts w:ascii="仿宋_GB2312" w:hAnsi="仿宋_GB2312" w:cs="仿宋_GB2312" w:eastAsia="仿宋_GB2312"/>
                <w:sz w:val="24"/>
              </w:rPr>
              <w:t>X/Y/Z/U/V/W/exx/eyy/exy/e1/e2；应可计算多种主流应变张量类型，可计算Mises应变、Tresca应变和原始梯度；具有宽度计算功能；对于没有预设的变量可通过方程自定义。</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分析软件应具有虚拟应变片功能，可显示不同的虚拟应变片尺寸对数据的影响，分析不同的过滤器尺寸的应变分布；可选择不同的张量类型（</w:t>
            </w:r>
            <w:r>
              <w:rPr>
                <w:rFonts w:ascii="仿宋_GB2312" w:hAnsi="仿宋_GB2312" w:cs="仿宋_GB2312" w:eastAsia="仿宋_GB2312"/>
                <w:sz w:val="24"/>
              </w:rPr>
              <w:t>Lagrange、Hencky、Euler Almansi、Log. Euler Almansi、Engineering、Biot）。</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rPr>
              <w:t>19.</w:t>
            </w:r>
            <w:r>
              <w:rPr>
                <w:rFonts w:ascii="仿宋_GB2312" w:hAnsi="仿宋_GB2312" w:cs="仿宋_GB2312" w:eastAsia="仿宋_GB2312"/>
                <w:sz w:val="24"/>
              </w:rPr>
              <w:t>具有测试模板功能，可保存校正数据，</w:t>
            </w:r>
            <w:r>
              <w:rPr>
                <w:rFonts w:ascii="仿宋_GB2312" w:hAnsi="仿宋_GB2312" w:cs="仿宋_GB2312" w:eastAsia="仿宋_GB2312"/>
                <w:sz w:val="24"/>
              </w:rPr>
              <w:t>AOI 测量区域及分析测试设置及坐标转换功能，具有测试报告功能可包含校正数据，分析设置，散斑质量及输出结果，外部数据等自动生成报告。</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▲20.支持HDF5格式的DIC项目存储和分发，以消除DIC图像数据和结果数据的碎片化，数据输出格式应包括但不限于csv、Tecplot ASCII、ASCII、STL、Matlab；可输出点阵数据；可输出不同质量的云图图片或视频。</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分析软件应允许添加</w:t>
            </w:r>
            <w:r>
              <w:rPr>
                <w:rFonts w:ascii="仿宋_GB2312" w:hAnsi="仿宋_GB2312" w:cs="仿宋_GB2312" w:eastAsia="仿宋_GB2312"/>
                <w:sz w:val="24"/>
              </w:rPr>
              <w:t>Python语言模块，允许编写相关程序对分析和可视化软件进行高自由度定制化改造；可设置自动化流水线式数据分析。</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22.系统内置独立的图形编辑引擎，有独立的数据可视化操作界面，可自定义动画内容、形式、参数等，有自适应运动模糊算法，有智能插帧算法，可生成的PDF报告规格不少于6种生成的视频报告规格不少于9种，允许生成SVG文件。</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应力分析功能，内置不少于</w:t>
            </w:r>
            <w:r>
              <w:rPr>
                <w:rFonts w:ascii="仿宋_GB2312" w:hAnsi="仿宋_GB2312" w:cs="仿宋_GB2312" w:eastAsia="仿宋_GB2312"/>
                <w:sz w:val="24"/>
              </w:rPr>
              <w:t>15种材料本构模型，支持多种的弹性模型、屈服准则、多线性粘弹性模型选择，可基于DIC测量得到的应变数据和模型参数，反求应力场分布情况。</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▲24.系统配备数字诊断模拟分析系统具有时域频域信号实时采集、实时存储，实时显示、实时分析。</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▲25.系统集成完备的时频域分析功能：包括FFT分析、功率谱密度 PSD分析、频响函数 FRF 分析、相关分析、包络分析、相位差分析，敲击测试、3D ODS振型分析、倒频谱、自谱、互谱长时间数据连续采集记录及回放分析、频率细化、窗函数可选汉宁窗、汉明窗、平顶窗、凯塞窗、布莱克曼窗，可自动进行轴承故障类型的智能诊断分析，提示轴承故障类型如BPFI,BFFO,BSF,FTF的信息。</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26.系统统计分析与信号生成：提供时域/频域参数化统计（均值、极值、RMS、峰峰值、偏度、峰度、波峰/波形因数等），内置可编程信号发生器，可输出随机、窄带、正弦、三角波、方波及用户自定义合成信号。</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27.配备高速旋转评估套件：自定义谱线分辨率：≥1600000线；提供阶次跟踪谱（Tracking）、伯德图（Bode）、奈奎斯特图（Nyquist）、极坐标图（Coordinates）及轴心轨迹分析（Trajectory），振动评判应依据ISO-10816标准用于故障特征提取与行为监测，可编辑轴承及齿轮参数数据库：≥ 23,000 条数据，应具备不平衡，不对中、磨损、松动、轴承润滑缺失、轴承冲击信号等现象异常状态自动预警功能，温度监测诊断模块应同时至少显示设备运行过程中的最高温度和最低温度以及监测单元屏幕中心区域温度。</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数字诊断模拟分析系统支持频响函数法（</w:t>
            </w:r>
            <w:r>
              <w:rPr>
                <w:rFonts w:ascii="仿宋_GB2312" w:hAnsi="仿宋_GB2312" w:cs="仿宋_GB2312" w:eastAsia="仿宋_GB2312"/>
                <w:sz w:val="24"/>
              </w:rPr>
              <w:t>FRF）与环境激励法（OMA），集成随机子空间法（SSI）、特征系统实现算法（ERA）、增强频域分解法（EFDD）、频域多参考点复指数法（PRCE）等主流模态参数识别算法。</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数字诊断模拟分析系统支持二次开发与数据交互：开放数据输出接口，支持文本（</w:t>
            </w:r>
            <w:r>
              <w:rPr>
                <w:rFonts w:ascii="仿宋_GB2312" w:hAnsi="仿宋_GB2312" w:cs="仿宋_GB2312" w:eastAsia="仿宋_GB2312"/>
                <w:sz w:val="24"/>
              </w:rPr>
              <w:t>TXT）、Excel、MATLAB等通用格式；提供VB/VC/LabVIEW等平台的API开发接口，满足定制化分析需求。</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多源数据兼容能力：支持导入第三方数据（</w:t>
            </w:r>
            <w:r>
              <w:rPr>
                <w:rFonts w:ascii="仿宋_GB2312" w:hAnsi="仿宋_GB2312" w:cs="仿宋_GB2312" w:eastAsia="仿宋_GB2312"/>
                <w:sz w:val="24"/>
              </w:rPr>
              <w:t>DSP、TXT、Excel、MATLAB格式），允许外部文本文件及Excel表格在系统内直接解析、显示与分析，扩展数据来源灵活性。</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配备标定板个数不少于</w:t>
            </w:r>
            <w:r>
              <w:rPr>
                <w:rFonts w:ascii="仿宋_GB2312" w:hAnsi="仿宋_GB2312" w:cs="仿宋_GB2312" w:eastAsia="仿宋_GB2312"/>
                <w:sz w:val="24"/>
              </w:rPr>
              <w:t>8块，每块标定板具有包括散斑、圆点、编码点等≥3种类型以上的识别点，每块标定板圆形识别点个数≥140个，最大的校正板点阵规模不小于40×30个。</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点光源</w:t>
            </w:r>
            <w:r>
              <w:rPr>
                <w:rFonts w:ascii="仿宋_GB2312" w:hAnsi="仿宋_GB2312" w:cs="仿宋_GB2312" w:eastAsia="仿宋_GB2312"/>
                <w:sz w:val="24"/>
              </w:rPr>
              <w:t>1套，工作电压DC7-16V，光通量≤2800流明，色温：≤5600K/3200K，控制：两组灯珠分组控制，通过调光旋钮可同步调节两组灯的亮度；LED面光源1套，显色指数≥90，光通量≥20000LM。</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33.联轴加载测试模块：包含刚性联轴节、半挠性\柔性膜片式联轴节，支持磨损与偏心故障模拟分析，具备角向不对中、平行不对中与混合不对中故障模拟能力，需安装有自动计算并进行校准联轴器对中的无线镭射器，分辨率：≤1µm，测量误差：≤±1μm±1%，发射范围：≥20m，倾角器≤0.1°，对中一体显示单元至少具备振动监测预警，可振动根据频谱特征自动生成设备状态图、温度异常影像预警，可同时显示温度最低点和最高点以及屏幕中心点位置温度、机械异响监听，配备工业耳机、LED照明、3D图形翻转等功能。</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▲34.加载预紧力范围至少覆盖0-10KN，负载力采集器精度：≤±0.5%F.S。</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★35.配备同步电机，转速范围至少覆盖0-12000RPM，转速精度≤±0.05%F.S。</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配备变频器频率范围至少覆盖</w:t>
            </w:r>
            <w:r>
              <w:rPr>
                <w:rFonts w:ascii="仿宋_GB2312" w:hAnsi="仿宋_GB2312" w:cs="仿宋_GB2312" w:eastAsia="仿宋_GB2312"/>
                <w:sz w:val="24"/>
              </w:rPr>
              <w:t>0-600Hz，4通道载荷同步控制器用于加载载荷同步控制。</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4"/>
              </w:rPr>
              <w:t>37.</w:t>
            </w:r>
            <w:r>
              <w:rPr>
                <w:rFonts w:ascii="仿宋_GB2312" w:hAnsi="仿宋_GB2312" w:cs="仿宋_GB2312" w:eastAsia="仿宋_GB2312"/>
                <w:sz w:val="24"/>
              </w:rPr>
              <w:t>主控机</w:t>
            </w:r>
            <w:r>
              <w:rPr>
                <w:rFonts w:ascii="仿宋_GB2312" w:hAnsi="仿宋_GB2312" w:cs="仿宋_GB2312" w:eastAsia="仿宋_GB2312"/>
                <w:sz w:val="24"/>
              </w:rPr>
              <w:t>512GB SSD,16GB RAM，硬盘1T，WIN11系统。</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标的名称：航空紧固件横向振动模拟实验台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配置清单</w:t>
            </w:r>
          </w:p>
          <w:p>
            <w:pPr>
              <w:pStyle w:val="null3"/>
              <w:jc w:val="both"/>
            </w:pPr>
            <w:r>
              <w:rPr>
                <w:rFonts w:ascii="仿宋_GB2312" w:hAnsi="仿宋_GB2312" w:cs="仿宋_GB2312" w:eastAsia="仿宋_GB2312"/>
                <w:sz w:val="24"/>
              </w:rPr>
              <w:t>（一）载荷与性能指标</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▲最大轴向夹紧力≤600 kN；</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▲横向载荷≤100 kN；</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可测试螺栓</w:t>
            </w:r>
            <w:r>
              <w:rPr>
                <w:rFonts w:ascii="仿宋_GB2312" w:hAnsi="仿宋_GB2312" w:cs="仿宋_GB2312" w:eastAsia="仿宋_GB2312"/>
                <w:sz w:val="24"/>
              </w:rPr>
              <w:t>≥M16；</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横向位移振幅</w:t>
            </w:r>
            <w:r>
              <w:rPr>
                <w:rFonts w:ascii="仿宋_GB2312" w:hAnsi="仿宋_GB2312" w:cs="仿宋_GB2312" w:eastAsia="仿宋_GB2312"/>
                <w:sz w:val="24"/>
              </w:rPr>
              <w:t>0~±2 mm；</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横向振动频率</w:t>
            </w:r>
            <w:r>
              <w:rPr>
                <w:rFonts w:ascii="仿宋_GB2312" w:hAnsi="仿宋_GB2312" w:cs="仿宋_GB2312" w:eastAsia="仿宋_GB2312"/>
                <w:sz w:val="24"/>
              </w:rPr>
              <w:t>3 ~15 Hz</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试验力测量满量程（</w:t>
            </w:r>
            <w:r>
              <w:rPr>
                <w:rFonts w:ascii="仿宋_GB2312" w:hAnsi="仿宋_GB2312" w:cs="仿宋_GB2312" w:eastAsia="仿宋_GB2312"/>
                <w:sz w:val="24"/>
              </w:rPr>
              <w:t>F.S.）的4%至100%。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轴向力与横向力的示值准确度均高达</w:t>
            </w:r>
            <w:r>
              <w:rPr>
                <w:rFonts w:ascii="仿宋_GB2312" w:hAnsi="仿宋_GB2312" w:cs="仿宋_GB2312" w:eastAsia="仿宋_GB2312"/>
                <w:sz w:val="24"/>
              </w:rPr>
              <w:t>±1%</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（二）结构设计与通用性</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▲位移分辨率达≥0.001 mm；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9、轴向力、横向力、扭矩的示值准确度达±1%；</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10、设备总重量约≤1500 kg，需接入三相四线制380V±10%/50Hz电源，总功率约≤33kW。</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（三）数据采集与控制系统</w:t>
            </w:r>
          </w:p>
          <w:p>
            <w:pPr>
              <w:pStyle w:val="null3"/>
            </w:pPr>
            <w:r>
              <w:rPr>
                <w:rFonts w:ascii="仿宋_GB2312" w:hAnsi="仿宋_GB2312" w:cs="仿宋_GB2312" w:eastAsia="仿宋_GB2312"/>
                <w:sz w:val="24"/>
              </w:rPr>
              <w:t>11、集成测试软件可实时显示轴向预紧力、横向力、振幅、振动次数、松动转角等参数及其变化曲线。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接采购人书面通知后120个日历日完成供货、安装、调试并交付使用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接采购人书面通知后45个日历日完成供货、安装、调试并交付使用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达到付款条件起9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进度款，设备运抵甲方指定地点并经甲方初步查验无误后，达到付款条件起9个工作日内，支付合同总金额的30.0%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进度款，设备安装调试完成，经甲方验收合格并签署《验收合格报告》后，乙方开具全额合法有效的增值税专用发票，达到付款条件起9个工作日内，支付合同总金额的30.0%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1、质保期：自验收合格之日起1年。硬件及软件操作上的问题反馈，技术工程师远程或上门进行售后。设备运行故障报修，可派专业维修工程师到现场进行服务。一年技术服务和软件免费升级。 2、产品质保期内，修理、更换、退货要求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自验收合格之日起1年。计算机集成测试软件终身免费升级；产品实行“质量三包”一年，终身服务；一年内属非人为造成故障，可免费维修、免费更换损坏部件；设备运行故障报修，可派专业维修工程师到现场进行服务。 2、产品质保期内，修理、更换、退货要求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20%的违约金，如该违约金不足以弥补采购人损失的，中标供应商还应予以赔偿。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20%的违约金，如该违约金不足以弥补采购人损失的，中标供应商还应予以赔偿。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采购包1和采购包2：一、付款方式（因系统编制受限，招标文件中关于付款方式的描述有不一致的地方以此处为准） 采购包1：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 采购包2：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二、采购标的的安装调试及配套工程、质量保证、售后服务等要求 （1）安装调试要求 安装标准：执行GB50231-2009《机械设备安装工程施工及验收通用规范》； 人员培训：提供相关操作人员培训资料。 （2）配套工程 基础施工：包含安装设备所需各种工具（需提前2日做好准备）。 （3）质量保证 按照国家新三包规定办理。 （4）售后服务 响应时限： 24小时电话响应，小修24小时内上门解决，中修1天内解决，大修3天内解决。 三、验收条款：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投标保证金缴纳凭证 投标函 其他材料 投标文件封面 投标人基本信息 企业关联关系声明函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商务偏离响应表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投标保证金缴纳凭证 其他材料 投标函 投标文件封面 投标人基本信息 企业关联关系声明函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商务偏离响应表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投标产品的技术指标满足招标文件要求的，得满分35分。 带“★”标识（共3项）的参数需求为实质性要求，必须响应并满足参数需求。 1、带“▲”号技术指标满分24分（共12项），有一项不满足扣2分； 2、非“▲”和非“★”号技术参数满分11分（共22项），每有一项负偏离扣0.5分。 注：对标“▲”和“★”号技术参数供应商必须提供相关技术参数佐证材料（不限于国家认可的检测机构出具的检测报告或制造商检验报告或产品彩页或官网功能截图或技术参数中要求提供的佐证材料）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技术偏离响应表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投标人针对本项目提供完整的项目实施方案。内容包含：①供货组织及进度安排；②对接及运输方案；③调试方案；④人员、物力调配安排。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上述4项评审内容全部满足评审标准得6分；每有一个评审内容缺项扣1.5分；每有一项评审内容存在缺陷，扣（0-1.5）分。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投标人针对本项目提供具体可行的质量保证措施。包括但不限于：①产品性能、使用寿命及效果；②产品供应渠道； 二、评审标准 1、完整性：方案须全面，对评审内容中的各项要求有详细描述； 2、可实施性：切合本项目实际情况，实施步骤清晰、合理； 3、针对性：方案能够紧扣项目实际情况，内容科学合理。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设备选型方案思路清晰、科学合理、可行性强、完全满足采购人需求得2分； 设备选型方案合理完善、可行性较强、基本满足采购人需求得1分； 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投标人针对本项目提供完整的售后服务方案。内容包含：①售后服务范围、响应时间及方式、定期回访及维护；②故障处理及补救措施。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提供投标人或制造商自2023年1月1日至投标文件递交截止时间前（以合同签订时间为准）类似项目业绩，需提供清晰有效的完整合同复印件，并加盖投标人公章。每提供一份得2分，最多得6分。未提供得0分。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质保期满足招标文件要求（1年）的基础上，每增加一年得1分（产品验收合格后开始计算），最高得2分。提供承诺，无承诺不得分。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商务偏离响应表</w:t>
            </w:r>
          </w:p>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投标产品的技术指标满足招标文件要求的，得满分30分。 1、带“▲”号技术指标满分16分（共4项），有一项不满足扣4分； 2、非“▲”和非“★”号技术参数满分14分（共7项），每有一项负偏离扣2分。 注：对标“▲”和“★”号技术参数供应商必须提供相关技术参数佐证材料（不限于国家认可的检测机构出具的检测报告或制造商检验报告或产品彩页或官网功能截图或技术参数中要求提供的佐证材料））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技术偏离响应表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投标人针对本项目提供完整的项目实施方案。内容包含：①供货组织及进度安排；②调试方案；③人员、物力调配安排及运输方案。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投标人针对本项目提供具体可行的质量保证措施。包括但不限于：①产品性能、使用寿命及效果；②产品供应渠道； 二、评审标准 1、完整性：方案须全面，对评审内容中的各项要求有详细描述； 2、可实施性：切合本项目实际情况，实施步骤清晰、合理； 3、针对性：方案能够紧扣项目实际情况，内容科学合理。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设备选型方案思路清晰、科学合理、可行性强、完全满足采购人需求得4分； 设备选型方案合理完善、可行性较强、基本满足采购人需求得2分；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投标人针对本项目提供完整的售后服务方案。内容包含：①售后服务范围、响应时间及方式、定期回访及维护；②故障处理及补救措施。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提供投标人或制造商自2023年1月1日至投标文件递交截止时间前（以合同签订时间为准）类似项目业绩，需提供清晰有效的完整合同复印件，并加盖投标人公章。每提供一份得2分，最多得6分。未提供得0分。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质保期满足招标文件要求（1年）的基础上，每增加一年得1分（产品验收合格后开始计算），最高得2分。提供承诺，无承诺不得分。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商务偏离响应表</w:t>
            </w:r>
          </w:p>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详见附件：技术偏离响应表</w:t>
      </w:r>
    </w:p>
    <w:p>
      <w:pPr>
        <w:pStyle w:val="null3"/>
        <w:ind w:firstLine="960"/>
      </w:pPr>
      <w:r>
        <w:rPr>
          <w:rFonts w:ascii="仿宋_GB2312" w:hAnsi="仿宋_GB2312" w:cs="仿宋_GB2312" w:eastAsia="仿宋_GB2312"/>
        </w:rPr>
        <w:t>详见附件：商务偏离响应表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详见附件：投标人业绩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详见附件：技术偏离响应表</w:t>
      </w:r>
    </w:p>
    <w:p>
      <w:pPr>
        <w:pStyle w:val="null3"/>
        <w:ind w:firstLine="960"/>
      </w:pPr>
      <w:r>
        <w:rPr>
          <w:rFonts w:ascii="仿宋_GB2312" w:hAnsi="仿宋_GB2312" w:cs="仿宋_GB2312" w:eastAsia="仿宋_GB2312"/>
        </w:rPr>
        <w:t>详见附件：商务偏离响应表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详见附件：投标人业绩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