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1E402">
      <w:pPr>
        <w:spacing w:line="360" w:lineRule="auto"/>
        <w:jc w:val="left"/>
        <w:outlineLvl w:val="2"/>
        <w:rPr>
          <w:rFonts w:hint="eastAsia"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</w:pPr>
      <w:bookmarkStart w:id="0" w:name="_Toc230777466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>格式  投标人基本信息</w:t>
      </w:r>
      <w:bookmarkEnd w:id="0"/>
    </w:p>
    <w:tbl>
      <w:tblPr>
        <w:tblStyle w:val="2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6"/>
        <w:gridCol w:w="2846"/>
        <w:gridCol w:w="508"/>
        <w:gridCol w:w="1016"/>
        <w:gridCol w:w="2445"/>
      </w:tblGrid>
      <w:tr w14:paraId="2BF4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4A84F4CC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69B0084E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213B7C2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021648D3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xx年xx月xx日　</w:t>
            </w:r>
          </w:p>
        </w:tc>
      </w:tr>
      <w:tr w14:paraId="2B35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5B464973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327C9B84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166EF8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14FF8F9F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208C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3C9113FD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24B8AE0C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BF9D3BB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1A3C90D1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079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436FF9AF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公司简介</w:t>
            </w:r>
          </w:p>
          <w:p w14:paraId="39CA88A4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29E8BBCB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8D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22F7A648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11B2D959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4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27C0BB10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27D51ADF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6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58A345DC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0ABBE756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BC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restart"/>
            <w:vAlign w:val="center"/>
          </w:tcPr>
          <w:p w14:paraId="3F07CA4F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最近投标人的主要财务情况（到202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28E91DC7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12283669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长期负债：</w:t>
            </w:r>
          </w:p>
        </w:tc>
      </w:tr>
      <w:tr w14:paraId="41808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67AB66B5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59028B6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7676AABA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短期负债：</w:t>
            </w:r>
          </w:p>
        </w:tc>
      </w:tr>
      <w:tr w14:paraId="042D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536" w:type="dxa"/>
            <w:vMerge w:val="continue"/>
            <w:vAlign w:val="center"/>
          </w:tcPr>
          <w:p w14:paraId="7BF69B43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EAF62C2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696C8B69">
            <w:pPr>
              <w:tabs>
                <w:tab w:val="left" w:pos="837"/>
              </w:tabs>
              <w:spacing w:line="360" w:lineRule="auto"/>
              <w:jc w:val="left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营业收入/主营业务收入：</w:t>
            </w:r>
          </w:p>
        </w:tc>
      </w:tr>
      <w:tr w14:paraId="40AF8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536" w:type="dxa"/>
            <w:vMerge w:val="continue"/>
            <w:vAlign w:val="center"/>
          </w:tcPr>
          <w:p w14:paraId="5156F009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F4370F9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净值：</w:t>
            </w:r>
          </w:p>
        </w:tc>
        <w:tc>
          <w:tcPr>
            <w:tcW w:w="3461" w:type="dxa"/>
            <w:gridSpan w:val="2"/>
            <w:vMerge w:val="continue"/>
            <w:vAlign w:val="center"/>
          </w:tcPr>
          <w:p w14:paraId="2951C2EC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9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Merge w:val="continue"/>
            <w:vAlign w:val="center"/>
          </w:tcPr>
          <w:p w14:paraId="2A2600A9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EF41FD3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46759F9E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利润：</w:t>
            </w:r>
          </w:p>
        </w:tc>
      </w:tr>
      <w:tr w14:paraId="2BF77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2E60E97A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56E9C9A2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年度总营业额：</w:t>
            </w:r>
          </w:p>
          <w:p w14:paraId="61E91D4C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年度总营业额：</w:t>
            </w:r>
          </w:p>
          <w:p w14:paraId="4715D775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年度总营业额：</w:t>
            </w:r>
          </w:p>
        </w:tc>
      </w:tr>
      <w:tr w14:paraId="1C729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36" w:type="dxa"/>
            <w:vAlign w:val="center"/>
          </w:tcPr>
          <w:p w14:paraId="50AD2959">
            <w:pPr>
              <w:tabs>
                <w:tab w:val="left" w:pos="837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1E1811E0">
            <w:pPr>
              <w:tabs>
                <w:tab w:val="left" w:pos="837"/>
              </w:tabs>
              <w:spacing w:line="360" w:lineRule="auto"/>
              <w:rPr>
                <w:rFonts w:hint="eastAsia" w:asciiTheme="minorEastAsia" w:hAnsiTheme="minorEastAsia"/>
                <w:color w:val="000000" w:themeColor="text1"/>
                <w:sz w:val="24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3168BD">
      <w:pPr>
        <w:rPr>
          <w:rFonts w:hint="eastAsia"/>
          <w:lang w:eastAsia="zh-Hans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0B2959AF"/>
    <w:rsid w:val="1557198F"/>
    <w:rsid w:val="299F6982"/>
    <w:rsid w:val="33CE26CD"/>
    <w:rsid w:val="36B4754F"/>
    <w:rsid w:val="39483D62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6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8D90357583DE49C085AED8CD126F6246_13</vt:lpwstr>
  </property>
</Properties>
</file>