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7F6619">
      <w:pPr>
        <w:adjustRightInd w:val="0"/>
        <w:snapToGrid w:val="0"/>
        <w:spacing w:line="360" w:lineRule="auto"/>
        <w:jc w:val="center"/>
        <w:rPr>
          <w:b/>
          <w:color w:val="auto"/>
          <w:sz w:val="52"/>
          <w:szCs w:val="52"/>
          <w:highlight w:val="none"/>
        </w:rPr>
      </w:pPr>
      <w:r>
        <w:rPr>
          <w:rFonts w:hint="eastAsia"/>
          <w:b/>
          <w:color w:val="auto"/>
          <w:sz w:val="52"/>
          <w:szCs w:val="52"/>
          <w:highlight w:val="none"/>
        </w:rPr>
        <w:t>合</w:t>
      </w:r>
      <w:r>
        <w:rPr>
          <w:b/>
          <w:color w:val="auto"/>
          <w:sz w:val="52"/>
          <w:szCs w:val="52"/>
          <w:highlight w:val="none"/>
        </w:rPr>
        <w:t xml:space="preserve"> </w:t>
      </w:r>
      <w:r>
        <w:rPr>
          <w:rFonts w:hint="eastAsia"/>
          <w:b/>
          <w:color w:val="auto"/>
          <w:sz w:val="52"/>
          <w:szCs w:val="52"/>
          <w:highlight w:val="none"/>
        </w:rPr>
        <w:t>作</w:t>
      </w:r>
      <w:r>
        <w:rPr>
          <w:b/>
          <w:color w:val="auto"/>
          <w:sz w:val="52"/>
          <w:szCs w:val="52"/>
          <w:highlight w:val="none"/>
        </w:rPr>
        <w:t xml:space="preserve"> </w:t>
      </w:r>
      <w:r>
        <w:rPr>
          <w:rFonts w:hint="eastAsia"/>
          <w:b/>
          <w:color w:val="auto"/>
          <w:sz w:val="52"/>
          <w:szCs w:val="52"/>
          <w:highlight w:val="none"/>
        </w:rPr>
        <w:t>协</w:t>
      </w:r>
      <w:r>
        <w:rPr>
          <w:b/>
          <w:color w:val="auto"/>
          <w:sz w:val="52"/>
          <w:szCs w:val="52"/>
          <w:highlight w:val="none"/>
        </w:rPr>
        <w:t xml:space="preserve"> </w:t>
      </w:r>
      <w:r>
        <w:rPr>
          <w:rFonts w:hint="eastAsia"/>
          <w:b/>
          <w:color w:val="auto"/>
          <w:sz w:val="52"/>
          <w:szCs w:val="52"/>
          <w:highlight w:val="none"/>
        </w:rPr>
        <w:t>议</w:t>
      </w:r>
    </w:p>
    <w:p w14:paraId="58DAB5DB">
      <w:pPr>
        <w:spacing w:after="0" w:line="360" w:lineRule="auto"/>
        <w:jc w:val="center"/>
        <w:rPr>
          <w:rFonts w:ascii="黑体" w:hAnsi="黑体" w:eastAsia="黑体"/>
          <w:color w:val="auto"/>
          <w:sz w:val="28"/>
          <w:szCs w:val="28"/>
          <w:highlight w:val="none"/>
        </w:rPr>
      </w:pPr>
    </w:p>
    <w:p w14:paraId="118D7FC2">
      <w:pPr>
        <w:spacing w:before="156" w:beforeLines="50" w:line="360" w:lineRule="auto"/>
        <w:rPr>
          <w:rFonts w:ascii="仿宋" w:hAnsi="仿宋" w:eastAsia="仿宋"/>
          <w:color w:val="auto"/>
          <w:sz w:val="24"/>
          <w:szCs w:val="24"/>
          <w:highlight w:val="none"/>
        </w:rPr>
      </w:pPr>
      <w:r>
        <w:rPr>
          <w:rFonts w:ascii="仿宋" w:hAnsi="仿宋" w:eastAsia="仿宋"/>
          <w:color w:val="auto"/>
          <w:sz w:val="24"/>
          <w:szCs w:val="24"/>
          <w:highlight w:val="none"/>
        </w:rPr>
        <w:t>甲方：陕西省第十八届运动会渭南市筹委会办公室</w:t>
      </w:r>
    </w:p>
    <w:p w14:paraId="7C6B0067">
      <w:pPr>
        <w:spacing w:line="360" w:lineRule="auto"/>
        <w:rPr>
          <w:rFonts w:hint="default" w:ascii="仿宋" w:hAnsi="仿宋" w:eastAsia="仿宋"/>
          <w:color w:val="auto"/>
          <w:sz w:val="24"/>
          <w:szCs w:val="24"/>
          <w:highlight w:val="none"/>
          <w:lang w:val="en-US" w:eastAsia="zh-CN"/>
        </w:rPr>
      </w:pPr>
      <w:r>
        <w:rPr>
          <w:rFonts w:ascii="仿宋" w:hAnsi="仿宋" w:eastAsia="仿宋"/>
          <w:color w:val="auto"/>
          <w:sz w:val="24"/>
          <w:szCs w:val="24"/>
          <w:highlight w:val="none"/>
        </w:rPr>
        <w:t>乙方：</w:t>
      </w:r>
      <w:r>
        <w:rPr>
          <w:rFonts w:hint="eastAsia" w:ascii="仿宋" w:hAnsi="仿宋" w:eastAsia="仿宋"/>
          <w:color w:val="auto"/>
          <w:sz w:val="24"/>
          <w:szCs w:val="24"/>
          <w:highlight w:val="none"/>
          <w:u w:val="single"/>
          <w:lang w:val="en-US" w:eastAsia="zh-CN"/>
        </w:rPr>
        <w:t xml:space="preserve">                                      </w:t>
      </w:r>
    </w:p>
    <w:p w14:paraId="2FFB61D6">
      <w:pPr>
        <w:spacing w:line="360" w:lineRule="auto"/>
        <w:ind w:firstLine="530" w:firstLineChars="221"/>
        <w:rPr>
          <w:rFonts w:ascii="仿宋" w:hAnsi="仿宋" w:eastAsia="仿宋"/>
          <w:color w:val="auto"/>
          <w:sz w:val="24"/>
          <w:szCs w:val="24"/>
          <w:highlight w:val="none"/>
        </w:rPr>
      </w:pPr>
      <w:r>
        <w:rPr>
          <w:rFonts w:ascii="仿宋" w:hAnsi="仿宋" w:eastAsia="仿宋"/>
          <w:color w:val="auto"/>
          <w:sz w:val="24"/>
          <w:szCs w:val="24"/>
          <w:highlight w:val="none"/>
        </w:rPr>
        <w:t>为确保 2026 年陕西省第十八届运动会在渭南市圆满成功举办，全面营造浓厚热烈的省运氛围，充分展示渭南城市形象与体育事业发展成果，甲乙双方本着 "优势互补、资源共享、合作共赢、务求实效" 的原则，就乙方举全台之力承担省运会全媒体宣传工作，达成如下协议，共同遵照执行。</w:t>
      </w:r>
    </w:p>
    <w:p w14:paraId="59E5104E">
      <w:p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一、合作宗旨与宣传背景</w:t>
      </w:r>
    </w:p>
    <w:p w14:paraId="43AF57B4">
      <w:pPr>
        <w:spacing w:line="360" w:lineRule="auto"/>
        <w:ind w:firstLine="530" w:firstLineChars="221"/>
        <w:rPr>
          <w:rFonts w:ascii="仿宋" w:hAnsi="仿宋" w:eastAsia="仿宋"/>
          <w:color w:val="auto"/>
          <w:sz w:val="24"/>
          <w:szCs w:val="24"/>
          <w:highlight w:val="none"/>
        </w:rPr>
      </w:pPr>
      <w:r>
        <w:rPr>
          <w:rFonts w:ascii="仿宋" w:hAnsi="仿宋" w:eastAsia="仿宋"/>
          <w:color w:val="auto"/>
          <w:sz w:val="24"/>
          <w:szCs w:val="24"/>
          <w:highlight w:val="none"/>
        </w:rPr>
        <w:t>四年一届的陕西省运动会是陕西省规模最大、规格最高、影响力最广的综合性体育盛会。2026年为陕西省第十八届运动会正式举办之年，本届省运会由陕西省人民政府主办，陕西省体育局、渭南市人民政府承办，以"全民省运、省运惠民、省运兴市" 为核心理念。</w:t>
      </w:r>
    </w:p>
    <w:p w14:paraId="38C4664A">
      <w:pPr>
        <w:spacing w:line="360" w:lineRule="auto"/>
        <w:ind w:firstLine="530" w:firstLineChars="221"/>
        <w:rPr>
          <w:rFonts w:ascii="仿宋" w:hAnsi="仿宋" w:eastAsia="仿宋"/>
          <w:color w:val="auto"/>
          <w:sz w:val="24"/>
          <w:szCs w:val="24"/>
          <w:highlight w:val="none"/>
        </w:rPr>
      </w:pPr>
      <w:r>
        <w:rPr>
          <w:rFonts w:ascii="仿宋" w:hAnsi="仿宋" w:eastAsia="仿宋"/>
          <w:color w:val="auto"/>
          <w:sz w:val="24"/>
          <w:szCs w:val="24"/>
          <w:highlight w:val="none"/>
        </w:rPr>
        <w:t>乙方作为渭南市官方主流媒体，举全台之力、集全台资源，构建广播电视、新媒体矩阵、户外移动终端全覆盖的宣传体系，打造省运会官方权威宣传主阵地，为赛事成功举办提供强有力的舆论支撑、精神动力和文化氛围。</w:t>
      </w:r>
    </w:p>
    <w:p w14:paraId="6194ECD0">
      <w:p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二、宣传平台与专栏设置</w:t>
      </w:r>
    </w:p>
    <w:p w14:paraId="294DCFCA">
      <w:pPr>
        <w:spacing w:line="360" w:lineRule="auto"/>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乙方整合全台所有宣传资源，实现全时段、全覆盖、多频次宣传：</w:t>
      </w:r>
    </w:p>
    <w:p w14:paraId="29294543">
      <w:pPr>
        <w:numPr>
          <w:ilvl w:val="0"/>
          <w:numId w:val="1"/>
        </w:num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广播电视平台</w:t>
      </w:r>
    </w:p>
    <w:p w14:paraId="2F52DCC1">
      <w:pPr>
        <w:spacing w:line="360" w:lineRule="auto"/>
        <w:ind w:firstLine="530" w:firstLineChars="221"/>
        <w:rPr>
          <w:rFonts w:ascii="仿宋" w:hAnsi="仿宋" w:eastAsia="仿宋"/>
          <w:color w:val="auto"/>
          <w:sz w:val="24"/>
          <w:szCs w:val="24"/>
          <w:highlight w:val="none"/>
        </w:rPr>
      </w:pPr>
      <w:r>
        <w:rPr>
          <w:rFonts w:ascii="仿宋" w:hAnsi="仿宋" w:eastAsia="仿宋"/>
          <w:color w:val="auto"/>
          <w:sz w:val="24"/>
          <w:szCs w:val="24"/>
          <w:highlight w:val="none"/>
        </w:rPr>
        <w:t>渭南广播电视台</w:t>
      </w:r>
      <w:r>
        <w:rPr>
          <w:rFonts w:hint="eastAsia" w:ascii="仿宋" w:hAnsi="仿宋" w:eastAsia="仿宋"/>
          <w:color w:val="auto"/>
          <w:sz w:val="24"/>
          <w:szCs w:val="24"/>
          <w:highlight w:val="none"/>
        </w:rPr>
        <w:t>各电视</w:t>
      </w:r>
      <w:r>
        <w:rPr>
          <w:rFonts w:ascii="仿宋" w:hAnsi="仿宋" w:eastAsia="仿宋"/>
          <w:color w:val="auto"/>
          <w:sz w:val="24"/>
          <w:szCs w:val="24"/>
          <w:highlight w:val="none"/>
        </w:rPr>
        <w:t>频道、</w:t>
      </w:r>
      <w:r>
        <w:rPr>
          <w:rFonts w:hint="eastAsia" w:ascii="仿宋" w:hAnsi="仿宋" w:eastAsia="仿宋"/>
          <w:color w:val="auto"/>
          <w:sz w:val="24"/>
          <w:szCs w:val="24"/>
          <w:highlight w:val="none"/>
        </w:rPr>
        <w:t>各广播频率</w:t>
      </w:r>
      <w:r>
        <w:rPr>
          <w:rFonts w:ascii="仿宋" w:hAnsi="仿宋" w:eastAsia="仿宋"/>
          <w:color w:val="auto"/>
          <w:sz w:val="24"/>
          <w:szCs w:val="24"/>
          <w:highlight w:val="none"/>
        </w:rPr>
        <w:t>全平台联动；开设《聚焦省运》</w:t>
      </w:r>
      <w:r>
        <w:rPr>
          <w:rFonts w:hint="eastAsia" w:ascii="仿宋" w:hAnsi="仿宋" w:eastAsia="仿宋"/>
          <w:color w:val="auto"/>
          <w:sz w:val="24"/>
          <w:szCs w:val="24"/>
          <w:highlight w:val="none"/>
          <w:lang w:val="en-US" w:eastAsia="zh-CN"/>
        </w:rPr>
        <w:t>专栏。对</w:t>
      </w:r>
      <w:r>
        <w:rPr>
          <w:rFonts w:ascii="仿宋" w:hAnsi="仿宋" w:eastAsia="仿宋"/>
          <w:color w:val="auto"/>
          <w:sz w:val="24"/>
          <w:szCs w:val="24"/>
          <w:highlight w:val="none"/>
        </w:rPr>
        <w:t>《省运进行时》《赛场速递》《省运人物志》</w:t>
      </w:r>
      <w:r>
        <w:rPr>
          <w:rFonts w:hint="eastAsia" w:ascii="仿宋" w:hAnsi="仿宋" w:eastAsia="仿宋"/>
          <w:color w:val="auto"/>
          <w:sz w:val="24"/>
          <w:szCs w:val="24"/>
          <w:highlight w:val="none"/>
          <w:lang w:val="en-US" w:eastAsia="zh-CN"/>
        </w:rPr>
        <w:t>进行融媒宣传</w:t>
      </w:r>
      <w:r>
        <w:rPr>
          <w:rFonts w:ascii="仿宋" w:hAnsi="仿宋" w:eastAsia="仿宋"/>
          <w:color w:val="auto"/>
          <w:sz w:val="24"/>
          <w:szCs w:val="24"/>
          <w:highlight w:val="none"/>
        </w:rPr>
        <w:t>。</w:t>
      </w:r>
    </w:p>
    <w:p w14:paraId="18EBA18C">
      <w:pPr>
        <w:numPr>
          <w:ilvl w:val="0"/>
          <w:numId w:val="1"/>
        </w:num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新媒体矩阵</w:t>
      </w:r>
    </w:p>
    <w:p w14:paraId="22A12BA3">
      <w:pPr>
        <w:spacing w:line="360" w:lineRule="auto"/>
        <w:ind w:firstLine="530" w:firstLineChars="221"/>
        <w:jc w:val="left"/>
        <w:rPr>
          <w:rFonts w:ascii="仿宋" w:hAnsi="仿宋" w:eastAsia="仿宋"/>
          <w:color w:val="auto"/>
          <w:sz w:val="24"/>
          <w:szCs w:val="24"/>
          <w:highlight w:val="none"/>
        </w:rPr>
      </w:pPr>
      <w:r>
        <w:rPr>
          <w:rFonts w:ascii="仿宋" w:hAnsi="仿宋" w:eastAsia="仿宋"/>
          <w:color w:val="auto"/>
          <w:sz w:val="24"/>
          <w:szCs w:val="24"/>
          <w:highlight w:val="none"/>
        </w:rPr>
        <w:t>华山网、渭水之南 APP、渭南广播电视台视频号/抖音号/快手号、渭南新闻微信公众号/视频号、东秦百姓抖音号、全民爱体育视频号等全平台同步</w:t>
      </w:r>
      <w:r>
        <w:rPr>
          <w:rFonts w:hint="eastAsia" w:ascii="仿宋" w:hAnsi="仿宋" w:eastAsia="仿宋"/>
          <w:color w:val="auto"/>
          <w:sz w:val="24"/>
          <w:szCs w:val="24"/>
          <w:highlight w:val="none"/>
          <w:lang w:val="en-US" w:eastAsia="zh-CN"/>
        </w:rPr>
        <w:t>宣传</w:t>
      </w:r>
      <w:r>
        <w:rPr>
          <w:rFonts w:ascii="仿宋" w:hAnsi="仿宋" w:eastAsia="仿宋"/>
          <w:color w:val="auto"/>
          <w:sz w:val="24"/>
          <w:szCs w:val="24"/>
          <w:highlight w:val="none"/>
        </w:rPr>
        <w:t>。</w:t>
      </w:r>
    </w:p>
    <w:p w14:paraId="3A418517">
      <w:p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三、核心宣传内容与任务</w:t>
      </w:r>
    </w:p>
    <w:p w14:paraId="7E9BA762">
      <w:pPr>
        <w:numPr>
          <w:ilvl w:val="0"/>
          <w:numId w:val="2"/>
        </w:num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筹备冲刺宣传</w:t>
      </w:r>
    </w:p>
    <w:p w14:paraId="34714740">
      <w:pPr>
        <w:spacing w:line="360" w:lineRule="auto"/>
        <w:ind w:firstLine="530" w:firstLineChars="221"/>
        <w:rPr>
          <w:rFonts w:ascii="仿宋" w:hAnsi="仿宋" w:eastAsia="仿宋"/>
          <w:color w:val="auto"/>
          <w:sz w:val="24"/>
          <w:szCs w:val="24"/>
          <w:highlight w:val="none"/>
        </w:rPr>
      </w:pPr>
      <w:r>
        <w:rPr>
          <w:rFonts w:ascii="仿宋" w:hAnsi="仿宋" w:eastAsia="仿宋"/>
          <w:color w:val="auto"/>
          <w:sz w:val="24"/>
          <w:szCs w:val="24"/>
          <w:highlight w:val="none"/>
        </w:rPr>
        <w:t>省运会倒计时系列、场馆建设验收、赛事组织、志愿服务、火炬传递、开闭幕式排练、城市氛围营造等全程报道。</w:t>
      </w:r>
    </w:p>
    <w:p w14:paraId="78C72469">
      <w:pPr>
        <w:numPr>
          <w:ilvl w:val="0"/>
          <w:numId w:val="2"/>
        </w:num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赛会核心宣传</w:t>
      </w:r>
    </w:p>
    <w:p w14:paraId="0ACCB8E6">
      <w:pPr>
        <w:spacing w:line="360" w:lineRule="auto"/>
        <w:ind w:firstLine="530" w:firstLineChars="221"/>
        <w:rPr>
          <w:rFonts w:ascii="仿宋" w:hAnsi="仿宋" w:eastAsia="仿宋"/>
          <w:color w:val="auto"/>
          <w:sz w:val="24"/>
          <w:szCs w:val="24"/>
          <w:highlight w:val="none"/>
        </w:rPr>
      </w:pPr>
      <w:r>
        <w:rPr>
          <w:rFonts w:ascii="仿宋" w:hAnsi="仿宋" w:eastAsia="仿宋"/>
          <w:color w:val="auto"/>
          <w:sz w:val="24"/>
          <w:szCs w:val="24"/>
          <w:highlight w:val="none"/>
        </w:rPr>
        <w:t>开闭幕式</w:t>
      </w:r>
      <w:r>
        <w:rPr>
          <w:rFonts w:hint="eastAsia" w:ascii="仿宋" w:hAnsi="仿宋" w:eastAsia="仿宋"/>
          <w:color w:val="auto"/>
          <w:sz w:val="24"/>
          <w:szCs w:val="24"/>
          <w:highlight w:val="none"/>
          <w:lang w:val="en-US" w:eastAsia="zh-CN"/>
        </w:rPr>
        <w:t>网络</w:t>
      </w:r>
      <w:r>
        <w:rPr>
          <w:rFonts w:ascii="仿宋" w:hAnsi="仿宋" w:eastAsia="仿宋"/>
          <w:color w:val="auto"/>
          <w:sz w:val="24"/>
          <w:szCs w:val="24"/>
          <w:highlight w:val="none"/>
        </w:rPr>
        <w:t>直播；每日赛事战报、奖牌榜实时发布；运动员、教练员、志愿者、保障团队典型事迹报道；省运文化活动宣传。</w:t>
      </w:r>
    </w:p>
    <w:p w14:paraId="6ADE00A1">
      <w:pPr>
        <w:numPr>
          <w:ilvl w:val="0"/>
          <w:numId w:val="2"/>
        </w:num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赛后成果宣传</w:t>
      </w:r>
    </w:p>
    <w:p w14:paraId="61CB1FB7">
      <w:pPr>
        <w:spacing w:line="360" w:lineRule="auto"/>
        <w:ind w:firstLine="530" w:firstLineChars="221"/>
        <w:rPr>
          <w:rFonts w:ascii="仿宋" w:hAnsi="仿宋" w:eastAsia="仿宋"/>
          <w:color w:val="auto"/>
          <w:sz w:val="24"/>
          <w:szCs w:val="24"/>
          <w:highlight w:val="none"/>
        </w:rPr>
      </w:pPr>
      <w:r>
        <w:rPr>
          <w:rFonts w:ascii="仿宋" w:hAnsi="仿宋" w:eastAsia="仿宋"/>
          <w:color w:val="auto"/>
          <w:sz w:val="24"/>
          <w:szCs w:val="24"/>
          <w:highlight w:val="none"/>
        </w:rPr>
        <w:t>省运会成果总结、精彩瞬间回顾、省运遗产与城市发展成效系列宣传。</w:t>
      </w:r>
    </w:p>
    <w:p w14:paraId="603EE833">
      <w:p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四、双方权利与义务</w:t>
      </w:r>
    </w:p>
    <w:p w14:paraId="685EE6CF">
      <w:p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（一）甲方权利与义务</w:t>
      </w:r>
    </w:p>
    <w:p w14:paraId="1BC97DD3">
      <w:pPr>
        <w:numPr>
          <w:ilvl w:val="0"/>
          <w:numId w:val="3"/>
        </w:num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甲方权利</w:t>
      </w:r>
    </w:p>
    <w:p w14:paraId="1BECCD5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仿宋" w:hAnsi="仿宋" w:eastAsia="仿宋"/>
          <w:color w:val="auto"/>
          <w:sz w:val="24"/>
          <w:szCs w:val="24"/>
          <w:highlight w:val="none"/>
        </w:rPr>
      </w:pPr>
      <w:r>
        <w:rPr>
          <w:rFonts w:ascii="仿宋" w:hAnsi="仿宋" w:eastAsia="仿宋"/>
          <w:color w:val="auto"/>
          <w:sz w:val="24"/>
          <w:szCs w:val="24"/>
          <w:highlight w:val="none"/>
        </w:rPr>
        <w:t>（1）有权对乙方宣传方案、宣传内容、播出频次、宣传效果进行全过程指导、监督、审核与评估。</w:t>
      </w:r>
    </w:p>
    <w:p w14:paraId="668E333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仿宋" w:hAnsi="仿宋" w:eastAsia="仿宋"/>
          <w:color w:val="auto"/>
          <w:sz w:val="24"/>
          <w:szCs w:val="24"/>
          <w:highlight w:val="none"/>
        </w:rPr>
      </w:pPr>
      <w:r>
        <w:rPr>
          <w:rFonts w:ascii="仿宋" w:hAnsi="仿宋" w:eastAsia="仿宋"/>
          <w:color w:val="auto"/>
          <w:sz w:val="24"/>
          <w:szCs w:val="24"/>
          <w:highlight w:val="none"/>
        </w:rPr>
        <w:t>（2）有权要求乙方按照官方统一口径、时间节点、宣传重点完成宣传任务。</w:t>
      </w:r>
    </w:p>
    <w:p w14:paraId="78505A3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仿宋" w:hAnsi="仿宋" w:eastAsia="仿宋"/>
          <w:color w:val="auto"/>
          <w:sz w:val="24"/>
          <w:szCs w:val="24"/>
          <w:highlight w:val="none"/>
        </w:rPr>
      </w:pPr>
      <w:r>
        <w:rPr>
          <w:rFonts w:ascii="仿宋" w:hAnsi="仿宋" w:eastAsia="仿宋"/>
          <w:color w:val="auto"/>
          <w:sz w:val="24"/>
          <w:szCs w:val="24"/>
          <w:highlight w:val="none"/>
        </w:rPr>
        <w:t>（3）有权对乙方宣传工作中出现的偏差、失误提出整改意见，乙方应及时纠正。</w:t>
      </w:r>
    </w:p>
    <w:p w14:paraId="3DA1CC8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仿宋" w:hAnsi="仿宋" w:eastAsia="仿宋"/>
          <w:color w:val="auto"/>
          <w:sz w:val="24"/>
          <w:szCs w:val="24"/>
          <w:highlight w:val="none"/>
        </w:rPr>
      </w:pPr>
      <w:r>
        <w:rPr>
          <w:rFonts w:ascii="仿宋" w:hAnsi="仿宋" w:eastAsia="仿宋"/>
          <w:color w:val="auto"/>
          <w:sz w:val="24"/>
          <w:szCs w:val="24"/>
          <w:highlight w:val="none"/>
        </w:rPr>
        <w:t>（4）有权使用乙方为本次合作制作的省运会宣传素材用于非商业性官方宣传。</w:t>
      </w:r>
    </w:p>
    <w:p w14:paraId="032FCA62">
      <w:pPr>
        <w:numPr>
          <w:ilvl w:val="0"/>
          <w:numId w:val="3"/>
        </w:num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甲方义务</w:t>
      </w:r>
    </w:p>
    <w:p w14:paraId="5B73D0B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仿宋" w:hAnsi="仿宋" w:eastAsia="仿宋"/>
          <w:color w:val="auto"/>
          <w:sz w:val="24"/>
          <w:szCs w:val="24"/>
          <w:highlight w:val="none"/>
        </w:rPr>
      </w:pPr>
      <w:r>
        <w:rPr>
          <w:rFonts w:ascii="仿宋" w:hAnsi="仿宋" w:eastAsia="仿宋"/>
          <w:color w:val="auto"/>
          <w:sz w:val="24"/>
          <w:szCs w:val="24"/>
          <w:highlight w:val="none"/>
        </w:rPr>
        <w:t>（1）指定专人作为对接责任人，及时、准确、全面向乙方提供省运会官方信息、活动安排、新闻通稿、图文素材及相关文件。</w:t>
      </w:r>
    </w:p>
    <w:p w14:paraId="0519EDE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仿宋" w:hAnsi="仿宋" w:eastAsia="仿宋"/>
          <w:color w:val="auto"/>
          <w:sz w:val="24"/>
          <w:szCs w:val="24"/>
          <w:highlight w:val="none"/>
        </w:rPr>
      </w:pPr>
      <w:r>
        <w:rPr>
          <w:rFonts w:ascii="仿宋" w:hAnsi="仿宋" w:eastAsia="仿宋"/>
          <w:color w:val="auto"/>
          <w:sz w:val="24"/>
          <w:szCs w:val="24"/>
          <w:highlight w:val="none"/>
        </w:rPr>
        <w:t>（2）负责协调赛事场馆、新闻中心、开闭幕式现场、火炬传递路线等采访通道，为乙方记者采访、拍摄提供必要通行、安全保障与工作便利。</w:t>
      </w:r>
    </w:p>
    <w:p w14:paraId="4EC841A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仿宋" w:hAnsi="仿宋" w:eastAsia="仿宋"/>
          <w:color w:val="auto"/>
          <w:sz w:val="24"/>
          <w:szCs w:val="24"/>
          <w:highlight w:val="none"/>
        </w:rPr>
      </w:pPr>
      <w:r>
        <w:rPr>
          <w:rFonts w:ascii="仿宋" w:hAnsi="仿宋" w:eastAsia="仿宋"/>
          <w:color w:val="auto"/>
          <w:sz w:val="24"/>
          <w:szCs w:val="24"/>
          <w:highlight w:val="none"/>
        </w:rPr>
        <w:t>（3）严格按照本协议约定的时间、金额、方式足额向乙方支付宣传服务费用，不得无故拖欠、截留、挪用。</w:t>
      </w:r>
    </w:p>
    <w:p w14:paraId="738ABCB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仿宋" w:hAnsi="仿宋" w:eastAsia="仿宋"/>
          <w:color w:val="auto"/>
          <w:sz w:val="24"/>
          <w:szCs w:val="24"/>
          <w:highlight w:val="none"/>
        </w:rPr>
      </w:pPr>
      <w:r>
        <w:rPr>
          <w:rFonts w:ascii="仿宋" w:hAnsi="仿宋" w:eastAsia="仿宋"/>
          <w:color w:val="auto"/>
          <w:sz w:val="24"/>
          <w:szCs w:val="24"/>
          <w:highlight w:val="none"/>
        </w:rPr>
        <w:t>（4）积极配合乙方开展宣传策划、现场执行、素材采集等相关工作，提供必要的协调支持。</w:t>
      </w:r>
    </w:p>
    <w:p w14:paraId="2C76A2A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仿宋" w:hAnsi="仿宋" w:eastAsia="仿宋"/>
          <w:color w:val="auto"/>
          <w:sz w:val="24"/>
          <w:szCs w:val="24"/>
          <w:highlight w:val="none"/>
        </w:rPr>
      </w:pPr>
      <w:r>
        <w:rPr>
          <w:rFonts w:ascii="仿宋" w:hAnsi="仿宋" w:eastAsia="仿宋"/>
          <w:color w:val="auto"/>
          <w:sz w:val="24"/>
          <w:szCs w:val="24"/>
          <w:highlight w:val="none"/>
        </w:rPr>
        <w:t>（5）维护乙方正当采访权与报道权，不得干预乙方正常、合规的新闻宣传活动。</w:t>
      </w:r>
    </w:p>
    <w:p w14:paraId="5E4AC957">
      <w:p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（二）乙方权利与义务</w:t>
      </w:r>
    </w:p>
    <w:p w14:paraId="761B054A">
      <w:pPr>
        <w:numPr>
          <w:ilvl w:val="0"/>
          <w:numId w:val="4"/>
        </w:num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乙方权利</w:t>
      </w:r>
    </w:p>
    <w:p w14:paraId="05A6DD4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仿宋" w:hAnsi="仿宋" w:eastAsia="仿宋"/>
          <w:color w:val="auto"/>
          <w:sz w:val="24"/>
          <w:szCs w:val="24"/>
          <w:highlight w:val="none"/>
        </w:rPr>
      </w:pPr>
      <w:r>
        <w:rPr>
          <w:rFonts w:ascii="仿宋" w:hAnsi="仿宋" w:eastAsia="仿宋"/>
          <w:color w:val="auto"/>
          <w:sz w:val="24"/>
          <w:szCs w:val="24"/>
          <w:highlight w:val="none"/>
        </w:rPr>
        <w:t>（1）有权要求甲方按时提供宣传所需的官方信息、素材与采访便利。</w:t>
      </w:r>
    </w:p>
    <w:p w14:paraId="6D84785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仿宋" w:hAnsi="仿宋" w:eastAsia="仿宋"/>
          <w:color w:val="auto"/>
          <w:sz w:val="24"/>
          <w:szCs w:val="24"/>
          <w:highlight w:val="none"/>
        </w:rPr>
      </w:pPr>
      <w:r>
        <w:rPr>
          <w:rFonts w:ascii="仿宋" w:hAnsi="仿宋" w:eastAsia="仿宋"/>
          <w:color w:val="auto"/>
          <w:sz w:val="24"/>
          <w:szCs w:val="24"/>
          <w:highlight w:val="none"/>
        </w:rPr>
        <w:t>（2）有权按照宣传规律和媒体规范对宣传内容进行合规编辑、制作、刊播。</w:t>
      </w:r>
    </w:p>
    <w:p w14:paraId="0E0A53C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仿宋" w:hAnsi="仿宋" w:eastAsia="仿宋"/>
          <w:color w:val="auto"/>
          <w:sz w:val="24"/>
          <w:szCs w:val="24"/>
          <w:highlight w:val="none"/>
        </w:rPr>
      </w:pPr>
      <w:r>
        <w:rPr>
          <w:rFonts w:ascii="仿宋" w:hAnsi="仿宋" w:eastAsia="仿宋"/>
          <w:color w:val="auto"/>
          <w:sz w:val="24"/>
          <w:szCs w:val="24"/>
          <w:highlight w:val="none"/>
        </w:rPr>
        <w:t>（3）有权按照协议约定按时足额收取宣传服务费用。</w:t>
      </w:r>
    </w:p>
    <w:p w14:paraId="3D3C40D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仿宋" w:hAnsi="仿宋" w:eastAsia="仿宋"/>
          <w:color w:val="auto"/>
          <w:sz w:val="24"/>
          <w:szCs w:val="24"/>
          <w:highlight w:val="none"/>
        </w:rPr>
      </w:pPr>
      <w:r>
        <w:rPr>
          <w:rFonts w:ascii="仿宋" w:hAnsi="仿宋" w:eastAsia="仿宋"/>
          <w:color w:val="auto"/>
          <w:sz w:val="24"/>
          <w:szCs w:val="24"/>
          <w:highlight w:val="none"/>
        </w:rPr>
        <w:t>（4）在标注来源的前提下，有权使用甲方提供的省运会相关素材用于本次合作宣传。</w:t>
      </w:r>
    </w:p>
    <w:p w14:paraId="4B918D78">
      <w:pPr>
        <w:numPr>
          <w:ilvl w:val="0"/>
          <w:numId w:val="4"/>
        </w:num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乙方义务</w:t>
      </w:r>
    </w:p>
    <w:p w14:paraId="29ED01F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仿宋" w:hAnsi="仿宋" w:eastAsia="仿宋"/>
          <w:color w:val="auto"/>
          <w:sz w:val="24"/>
          <w:szCs w:val="24"/>
          <w:highlight w:val="none"/>
        </w:rPr>
      </w:pPr>
      <w:r>
        <w:rPr>
          <w:rFonts w:ascii="仿宋" w:hAnsi="仿宋" w:eastAsia="仿宋"/>
          <w:color w:val="auto"/>
          <w:sz w:val="24"/>
          <w:szCs w:val="24"/>
          <w:highlight w:val="none"/>
        </w:rPr>
        <w:t>（1）举全台之力投入省运会宣传工作，成立由台主要领导任组长的专项宣传工作领导小组，组建专职报道团队，制定详细宣传方案并严格执行。</w:t>
      </w:r>
    </w:p>
    <w:p w14:paraId="04725F7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仿宋" w:hAnsi="仿宋" w:eastAsia="仿宋"/>
          <w:color w:val="auto"/>
          <w:sz w:val="24"/>
          <w:szCs w:val="24"/>
          <w:highlight w:val="none"/>
        </w:rPr>
      </w:pPr>
      <w:r>
        <w:rPr>
          <w:rFonts w:ascii="仿宋" w:hAnsi="仿宋" w:eastAsia="仿宋"/>
          <w:color w:val="auto"/>
          <w:sz w:val="24"/>
          <w:szCs w:val="24"/>
          <w:highlight w:val="none"/>
        </w:rPr>
        <w:t>（2）坚持正确舆论导向，严格遵守宣传纪律，所有宣传内容须符合官方口径，不得出现虚假、错误、负面、涉密信息。</w:t>
      </w:r>
    </w:p>
    <w:p w14:paraId="32C52B2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仿宋" w:hAnsi="仿宋" w:eastAsia="仿宋"/>
          <w:color w:val="auto"/>
          <w:sz w:val="24"/>
          <w:szCs w:val="24"/>
          <w:highlight w:val="none"/>
        </w:rPr>
      </w:pPr>
      <w:r>
        <w:rPr>
          <w:rFonts w:ascii="仿宋" w:hAnsi="仿宋" w:eastAsia="仿宋"/>
          <w:color w:val="auto"/>
          <w:sz w:val="24"/>
          <w:szCs w:val="24"/>
          <w:highlight w:val="none"/>
        </w:rPr>
        <w:t>（3）按照本协议约定完成全媒体宣传、节目制作、赛事</w:t>
      </w:r>
      <w:r>
        <w:rPr>
          <w:rFonts w:hint="eastAsia" w:ascii="仿宋" w:hAnsi="仿宋" w:eastAsia="仿宋"/>
          <w:color w:val="auto"/>
          <w:sz w:val="24"/>
          <w:szCs w:val="24"/>
          <w:highlight w:val="none"/>
        </w:rPr>
        <w:t>播出</w:t>
      </w:r>
      <w:r>
        <w:rPr>
          <w:rFonts w:ascii="仿宋" w:hAnsi="仿宋" w:eastAsia="仿宋"/>
          <w:color w:val="auto"/>
          <w:sz w:val="24"/>
          <w:szCs w:val="24"/>
          <w:highlight w:val="none"/>
        </w:rPr>
        <w:t>、短视频生产、平台运营、户外刊播等全部工作，保证宣传频次、质量与效果。</w:t>
      </w:r>
    </w:p>
    <w:p w14:paraId="51163A1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仿宋" w:hAnsi="仿宋" w:eastAsia="仿宋"/>
          <w:color w:val="auto"/>
          <w:sz w:val="24"/>
          <w:szCs w:val="24"/>
          <w:highlight w:val="none"/>
        </w:rPr>
      </w:pPr>
      <w:r>
        <w:rPr>
          <w:rFonts w:ascii="仿宋" w:hAnsi="仿宋" w:eastAsia="仿宋"/>
          <w:color w:val="auto"/>
          <w:sz w:val="24"/>
          <w:szCs w:val="24"/>
          <w:highlight w:val="none"/>
        </w:rPr>
        <w:t>（4）负责提供宣传所需的人员、设备、技术、转播、传输、安全播出与应急保障，承担相关成本费用。</w:t>
      </w:r>
    </w:p>
    <w:p w14:paraId="03EA077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仿宋" w:hAnsi="仿宋" w:eastAsia="仿宋"/>
          <w:color w:val="auto"/>
          <w:sz w:val="24"/>
          <w:szCs w:val="24"/>
          <w:highlight w:val="none"/>
        </w:rPr>
      </w:pPr>
      <w:r>
        <w:rPr>
          <w:rFonts w:ascii="仿宋" w:hAnsi="仿宋" w:eastAsia="仿宋"/>
          <w:color w:val="auto"/>
          <w:sz w:val="24"/>
          <w:szCs w:val="24"/>
          <w:highlight w:val="none"/>
        </w:rPr>
        <w:t>（</w:t>
      </w:r>
      <w:r>
        <w:rPr>
          <w:rFonts w:hint="eastAsia" w:ascii="仿宋" w:hAnsi="仿宋" w:eastAsia="仿宋"/>
          <w:color w:val="auto"/>
          <w:sz w:val="24"/>
          <w:szCs w:val="24"/>
          <w:highlight w:val="none"/>
        </w:rPr>
        <w:t>5</w:t>
      </w:r>
      <w:r>
        <w:rPr>
          <w:rFonts w:ascii="仿宋" w:hAnsi="仿宋" w:eastAsia="仿宋"/>
          <w:color w:val="auto"/>
          <w:sz w:val="24"/>
          <w:szCs w:val="24"/>
          <w:highlight w:val="none"/>
        </w:rPr>
        <w:t>）配合甲方做好中省媒体对接、外宣推送、舆情监测与应急处置工作。</w:t>
      </w:r>
    </w:p>
    <w:p w14:paraId="442C7C47">
      <w:p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五、合作期限</w:t>
      </w:r>
    </w:p>
    <w:p w14:paraId="79A87DCA">
      <w:pPr>
        <w:spacing w:line="360" w:lineRule="auto"/>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签订合同日起至2026年12月31日止</w:t>
      </w:r>
    </w:p>
    <w:p w14:paraId="4FEEB1F5">
      <w:p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六、</w:t>
      </w:r>
      <w:r>
        <w:rPr>
          <w:rFonts w:hint="eastAsia" w:ascii="仿宋" w:hAnsi="仿宋" w:eastAsia="仿宋"/>
          <w:color w:val="auto"/>
          <w:sz w:val="24"/>
          <w:szCs w:val="24"/>
          <w:highlight w:val="none"/>
          <w:lang w:eastAsia="zh-CN"/>
        </w:rPr>
        <w:t>合同金额</w:t>
      </w:r>
      <w:r>
        <w:rPr>
          <w:rFonts w:ascii="仿宋" w:hAnsi="仿宋" w:eastAsia="仿宋"/>
          <w:color w:val="auto"/>
          <w:sz w:val="24"/>
          <w:szCs w:val="24"/>
          <w:highlight w:val="none"/>
        </w:rPr>
        <w:t>及支付方式</w:t>
      </w:r>
    </w:p>
    <w:p w14:paraId="132DDC59">
      <w:p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（一）</w:t>
      </w:r>
      <w:r>
        <w:rPr>
          <w:rFonts w:hint="eastAsia" w:ascii="仿宋" w:hAnsi="仿宋" w:eastAsia="仿宋"/>
          <w:color w:val="auto"/>
          <w:sz w:val="24"/>
          <w:szCs w:val="24"/>
          <w:highlight w:val="none"/>
        </w:rPr>
        <w:t>合同金额</w:t>
      </w:r>
    </w:p>
    <w:p w14:paraId="616AFBBA">
      <w:pPr>
        <w:spacing w:line="360" w:lineRule="auto"/>
        <w:ind w:firstLine="720" w:firstLineChars="300"/>
        <w:rPr>
          <w:rFonts w:ascii="仿宋" w:hAnsi="仿宋" w:eastAsia="仿宋"/>
          <w:color w:val="auto"/>
          <w:sz w:val="24"/>
          <w:szCs w:val="24"/>
          <w:highlight w:val="none"/>
        </w:rPr>
      </w:pPr>
      <w:r>
        <w:rPr>
          <w:rFonts w:hint="eastAsia" w:ascii="仿宋" w:hAnsi="仿宋" w:eastAsia="仿宋"/>
          <w:color w:val="auto"/>
          <w:sz w:val="24"/>
          <w:szCs w:val="24"/>
          <w:highlight w:val="none"/>
          <w:lang w:eastAsia="zh-CN"/>
        </w:rPr>
        <w:t>固定总价</w:t>
      </w:r>
      <w:r>
        <w:rPr>
          <w:rFonts w:ascii="仿宋" w:hAnsi="仿宋" w:eastAsia="仿宋"/>
          <w:color w:val="auto"/>
          <w:sz w:val="24"/>
          <w:szCs w:val="24"/>
          <w:highlight w:val="none"/>
        </w:rPr>
        <w:t>人民币</w:t>
      </w:r>
      <w:r>
        <w:rPr>
          <w:rFonts w:hint="eastAsia" w:ascii="仿宋" w:hAnsi="仿宋" w:eastAsia="仿宋"/>
          <w:color w:val="auto"/>
          <w:sz w:val="24"/>
          <w:szCs w:val="24"/>
          <w:highlight w:val="none"/>
          <w:u w:val="single"/>
          <w:lang w:val="en-US" w:eastAsia="zh-CN"/>
        </w:rPr>
        <w:t xml:space="preserve">             </w:t>
      </w:r>
      <w:r>
        <w:rPr>
          <w:rFonts w:ascii="仿宋" w:hAnsi="仿宋" w:eastAsia="仿宋"/>
          <w:color w:val="auto"/>
          <w:sz w:val="24"/>
          <w:szCs w:val="24"/>
          <w:highlight w:val="none"/>
        </w:rPr>
        <w:t>（</w:t>
      </w:r>
      <w:r>
        <w:rPr>
          <w:rFonts w:ascii="Calibri" w:hAnsi="Calibri" w:eastAsia="仿宋" w:cs="Calibri"/>
          <w:color w:val="auto"/>
          <w:sz w:val="24"/>
          <w:szCs w:val="24"/>
          <w:highlight w:val="none"/>
        </w:rPr>
        <w:t>¥</w:t>
      </w:r>
      <w:r>
        <w:rPr>
          <w:rFonts w:hint="eastAsia" w:ascii="仿宋" w:hAnsi="仿宋" w:eastAsia="仿宋"/>
          <w:color w:val="auto"/>
          <w:sz w:val="24"/>
          <w:szCs w:val="24"/>
          <w:highlight w:val="none"/>
          <w:u w:val="single"/>
          <w:lang w:val="en-US" w:eastAsia="zh-CN"/>
        </w:rPr>
        <w:t xml:space="preserve">              </w:t>
      </w:r>
      <w:r>
        <w:rPr>
          <w:rFonts w:hint="eastAsia" w:ascii="仿宋" w:hAnsi="仿宋" w:eastAsia="仿宋"/>
          <w:color w:val="auto"/>
          <w:sz w:val="24"/>
          <w:szCs w:val="24"/>
          <w:highlight w:val="none"/>
          <w:u w:val="none"/>
          <w:lang w:val="en-US" w:eastAsia="zh-CN"/>
        </w:rPr>
        <w:t>元</w:t>
      </w:r>
      <w:r>
        <w:rPr>
          <w:rFonts w:ascii="仿宋" w:hAnsi="仿宋" w:eastAsia="仿宋"/>
          <w:color w:val="auto"/>
          <w:sz w:val="24"/>
          <w:szCs w:val="24"/>
          <w:highlight w:val="none"/>
        </w:rPr>
        <w:t>）</w:t>
      </w:r>
      <w:r>
        <w:rPr>
          <w:rFonts w:hint="eastAsia" w:ascii="仿宋" w:hAnsi="仿宋" w:eastAsia="仿宋"/>
          <w:color w:val="auto"/>
          <w:sz w:val="24"/>
          <w:szCs w:val="24"/>
          <w:highlight w:val="none"/>
          <w:lang w:eastAsia="zh-CN"/>
        </w:rPr>
        <w:t>。</w:t>
      </w:r>
      <w:r>
        <w:rPr>
          <w:rFonts w:hint="eastAsia" w:ascii="仿宋" w:hAnsi="仿宋" w:eastAsia="仿宋"/>
          <w:color w:val="auto"/>
          <w:sz w:val="24"/>
          <w:szCs w:val="24"/>
          <w:highlight w:val="none"/>
        </w:rPr>
        <w:t>乙方负责项目实施过程中的所有费用，甲方不再另付任何费用。</w:t>
      </w:r>
    </w:p>
    <w:p w14:paraId="7C57EDA2">
      <w:p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w:t>
      </w:r>
      <w:r>
        <w:rPr>
          <w:rFonts w:hint="eastAsia" w:ascii="仿宋" w:hAnsi="仿宋" w:eastAsia="仿宋"/>
          <w:color w:val="auto"/>
          <w:sz w:val="24"/>
          <w:szCs w:val="24"/>
          <w:highlight w:val="none"/>
          <w:lang w:eastAsia="zh-CN"/>
        </w:rPr>
        <w:t>二</w:t>
      </w:r>
      <w:r>
        <w:rPr>
          <w:rFonts w:ascii="仿宋" w:hAnsi="仿宋" w:eastAsia="仿宋"/>
          <w:color w:val="auto"/>
          <w:sz w:val="24"/>
          <w:szCs w:val="24"/>
          <w:highlight w:val="none"/>
        </w:rPr>
        <w:t>）支付方式</w:t>
      </w:r>
    </w:p>
    <w:p w14:paraId="54445C4E">
      <w:pPr>
        <w:numPr>
          <w:ilvl w:val="0"/>
          <w:numId w:val="5"/>
        </w:num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 xml:space="preserve">本协议签订后15个工作日内，甲方向乙方支付总费用的 </w:t>
      </w:r>
      <w:r>
        <w:rPr>
          <w:rFonts w:hint="eastAsia" w:ascii="仿宋" w:hAnsi="仿宋" w:eastAsia="仿宋"/>
          <w:color w:val="auto"/>
          <w:sz w:val="24"/>
          <w:szCs w:val="24"/>
          <w:highlight w:val="none"/>
          <w:lang w:val="en-US" w:eastAsia="zh-CN"/>
        </w:rPr>
        <w:t>40</w:t>
      </w:r>
      <w:r>
        <w:rPr>
          <w:rFonts w:ascii="仿宋" w:hAnsi="仿宋" w:eastAsia="仿宋"/>
          <w:color w:val="auto"/>
          <w:sz w:val="24"/>
          <w:szCs w:val="24"/>
          <w:highlight w:val="none"/>
        </w:rPr>
        <w:t>%，即人民币</w:t>
      </w:r>
      <w:r>
        <w:rPr>
          <w:rFonts w:hint="eastAsia" w:ascii="仿宋" w:hAnsi="仿宋" w:eastAsia="仿宋"/>
          <w:color w:val="auto"/>
          <w:sz w:val="24"/>
          <w:szCs w:val="24"/>
          <w:highlight w:val="none"/>
          <w:u w:val="single"/>
          <w:lang w:val="en-US" w:eastAsia="zh-CN"/>
        </w:rPr>
        <w:t xml:space="preserve">     </w:t>
      </w:r>
      <w:r>
        <w:rPr>
          <w:rFonts w:ascii="仿宋" w:hAnsi="仿宋" w:eastAsia="仿宋"/>
          <w:color w:val="auto"/>
          <w:sz w:val="24"/>
          <w:szCs w:val="24"/>
          <w:highlight w:val="none"/>
        </w:rPr>
        <w:t>（</w:t>
      </w:r>
      <w:r>
        <w:rPr>
          <w:rFonts w:ascii="Calibri" w:hAnsi="Calibri" w:eastAsia="仿宋" w:cs="Calibri"/>
          <w:color w:val="auto"/>
          <w:sz w:val="24"/>
          <w:szCs w:val="24"/>
          <w:highlight w:val="none"/>
        </w:rPr>
        <w:t>¥</w:t>
      </w:r>
      <w:r>
        <w:rPr>
          <w:rFonts w:hint="eastAsia" w:ascii="仿宋" w:hAnsi="仿宋" w:eastAsia="仿宋"/>
          <w:color w:val="auto"/>
          <w:sz w:val="24"/>
          <w:szCs w:val="24"/>
          <w:highlight w:val="none"/>
          <w:u w:val="single"/>
          <w:lang w:val="en-US" w:eastAsia="zh-CN"/>
        </w:rPr>
        <w:t xml:space="preserve">           </w:t>
      </w:r>
      <w:r>
        <w:rPr>
          <w:rFonts w:hint="eastAsia" w:ascii="仿宋" w:hAnsi="仿宋" w:eastAsia="仿宋"/>
          <w:color w:val="auto"/>
          <w:sz w:val="24"/>
          <w:szCs w:val="24"/>
          <w:highlight w:val="none"/>
          <w:u w:val="none"/>
          <w:lang w:val="en-US" w:eastAsia="zh-CN"/>
        </w:rPr>
        <w:t>元</w:t>
      </w:r>
      <w:r>
        <w:rPr>
          <w:rFonts w:ascii="仿宋" w:hAnsi="仿宋" w:eastAsia="仿宋"/>
          <w:color w:val="auto"/>
          <w:sz w:val="24"/>
          <w:szCs w:val="24"/>
          <w:highlight w:val="none"/>
        </w:rPr>
        <w:t>）</w:t>
      </w:r>
    </w:p>
    <w:p w14:paraId="61227F34">
      <w:pPr>
        <w:numPr>
          <w:ilvl w:val="0"/>
          <w:numId w:val="5"/>
        </w:numPr>
        <w:spacing w:line="360" w:lineRule="auto"/>
        <w:rPr>
          <w:rFonts w:ascii="仿宋" w:hAnsi="仿宋" w:eastAsia="仿宋"/>
          <w:color w:val="auto"/>
          <w:sz w:val="24"/>
          <w:szCs w:val="24"/>
          <w:highlight w:val="none"/>
        </w:rPr>
      </w:pPr>
      <w:r>
        <w:rPr>
          <w:rFonts w:hint="eastAsia" w:ascii="仿宋" w:hAnsi="仿宋" w:eastAsia="仿宋"/>
          <w:color w:val="auto"/>
          <w:sz w:val="24"/>
          <w:szCs w:val="24"/>
          <w:highlight w:val="none"/>
        </w:rPr>
        <w:t>合同期满后</w:t>
      </w:r>
      <w:r>
        <w:rPr>
          <w:rFonts w:ascii="仿宋" w:hAnsi="仿宋" w:eastAsia="仿宋"/>
          <w:color w:val="auto"/>
          <w:sz w:val="24"/>
          <w:szCs w:val="24"/>
          <w:highlight w:val="none"/>
        </w:rPr>
        <w:t xml:space="preserve">15日内，甲方向乙方支付剩余 </w:t>
      </w:r>
      <w:r>
        <w:rPr>
          <w:rFonts w:hint="eastAsia" w:ascii="仿宋" w:hAnsi="仿宋" w:eastAsia="仿宋"/>
          <w:color w:val="auto"/>
          <w:sz w:val="24"/>
          <w:szCs w:val="24"/>
          <w:highlight w:val="none"/>
          <w:lang w:val="en-US" w:eastAsia="zh-CN"/>
        </w:rPr>
        <w:t>60</w:t>
      </w:r>
      <w:r>
        <w:rPr>
          <w:rFonts w:ascii="仿宋" w:hAnsi="仿宋" w:eastAsia="仿宋"/>
          <w:color w:val="auto"/>
          <w:sz w:val="24"/>
          <w:szCs w:val="24"/>
          <w:highlight w:val="none"/>
        </w:rPr>
        <w:t>% 尾款，即人民币</w:t>
      </w:r>
      <w:r>
        <w:rPr>
          <w:rFonts w:hint="eastAsia" w:ascii="仿宋" w:hAnsi="仿宋" w:eastAsia="仿宋"/>
          <w:color w:val="auto"/>
          <w:sz w:val="24"/>
          <w:szCs w:val="24"/>
          <w:highlight w:val="none"/>
          <w:u w:val="single"/>
          <w:lang w:val="en-US" w:eastAsia="zh-CN"/>
        </w:rPr>
        <w:t xml:space="preserve">             </w:t>
      </w:r>
      <w:r>
        <w:rPr>
          <w:rFonts w:ascii="仿宋" w:hAnsi="仿宋" w:eastAsia="仿宋"/>
          <w:color w:val="auto"/>
          <w:sz w:val="24"/>
          <w:szCs w:val="24"/>
          <w:highlight w:val="none"/>
        </w:rPr>
        <w:t>（</w:t>
      </w:r>
      <w:r>
        <w:rPr>
          <w:rFonts w:ascii="Calibri" w:hAnsi="Calibri" w:eastAsia="仿宋" w:cs="Calibri"/>
          <w:color w:val="auto"/>
          <w:sz w:val="24"/>
          <w:szCs w:val="24"/>
          <w:highlight w:val="none"/>
        </w:rPr>
        <w:t>¥</w:t>
      </w:r>
      <w:r>
        <w:rPr>
          <w:rFonts w:hint="eastAsia" w:ascii="仿宋" w:hAnsi="仿宋" w:eastAsia="仿宋"/>
          <w:color w:val="auto"/>
          <w:sz w:val="24"/>
          <w:szCs w:val="24"/>
          <w:highlight w:val="none"/>
          <w:u w:val="single"/>
          <w:lang w:val="en-US" w:eastAsia="zh-CN"/>
        </w:rPr>
        <w:t xml:space="preserve">              </w:t>
      </w:r>
      <w:r>
        <w:rPr>
          <w:rFonts w:hint="eastAsia" w:ascii="仿宋" w:hAnsi="仿宋" w:eastAsia="仿宋"/>
          <w:color w:val="auto"/>
          <w:sz w:val="24"/>
          <w:szCs w:val="24"/>
          <w:highlight w:val="none"/>
          <w:u w:val="none"/>
          <w:lang w:val="en-US" w:eastAsia="zh-CN"/>
        </w:rPr>
        <w:t>元</w:t>
      </w:r>
      <w:r>
        <w:rPr>
          <w:rFonts w:ascii="仿宋" w:hAnsi="仿宋" w:eastAsia="仿宋"/>
          <w:color w:val="auto"/>
          <w:sz w:val="24"/>
          <w:szCs w:val="24"/>
          <w:highlight w:val="none"/>
        </w:rPr>
        <w:t>）</w:t>
      </w:r>
    </w:p>
    <w:p w14:paraId="0376CBA1">
      <w:pPr>
        <w:numPr>
          <w:ilvl w:val="0"/>
          <w:numId w:val="5"/>
        </w:num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乙方提供合法有效增值税发票，甲方以银行转账方式支付。</w:t>
      </w:r>
    </w:p>
    <w:p w14:paraId="7F6E9BE0">
      <w:p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七、违约责任</w:t>
      </w:r>
    </w:p>
    <w:p w14:paraId="515EF003">
      <w:pPr>
        <w:numPr>
          <w:ilvl w:val="0"/>
          <w:numId w:val="6"/>
        </w:num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任何一方违反本协议约定，应承担相应违约责任，并赔偿对方因此造成的直接经济损失。</w:t>
      </w:r>
    </w:p>
    <w:p w14:paraId="422A84DF">
      <w:pPr>
        <w:numPr>
          <w:ilvl w:val="0"/>
          <w:numId w:val="6"/>
        </w:num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因不可抗力导致本协议无法履行的，双方互不承担违约责任，协商处理后续事宜。</w:t>
      </w:r>
    </w:p>
    <w:p w14:paraId="74383A6C">
      <w:pPr>
        <w:numPr>
          <w:ilvl w:val="0"/>
          <w:numId w:val="6"/>
        </w:num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乙方未按本协议要求完成宣传任务的，甲方有权暂缓付款并要求乙方限期整改。</w:t>
      </w:r>
    </w:p>
    <w:p w14:paraId="2C263227">
      <w:pPr>
        <w:numPr>
          <w:ilvl w:val="0"/>
          <w:numId w:val="6"/>
        </w:num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甲方逾期支付费用的，每逾期一日按应付未付金额的 0.05% 向乙方支付违约金。</w:t>
      </w:r>
    </w:p>
    <w:p w14:paraId="505ED1D1">
      <w:p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八、其他条款</w:t>
      </w:r>
    </w:p>
    <w:p w14:paraId="60A41BFC">
      <w:pPr>
        <w:numPr>
          <w:ilvl w:val="0"/>
          <w:numId w:val="7"/>
        </w:num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本协议未尽事宜，由双方友好协商解决，可签订补充协议，补充协议与本协议具有同等法律效力。</w:t>
      </w:r>
    </w:p>
    <w:p w14:paraId="12D28351">
      <w:pPr>
        <w:numPr>
          <w:ilvl w:val="0"/>
          <w:numId w:val="7"/>
        </w:num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因履行本协议发生争议，双方应协商解决；协商不成的，</w:t>
      </w:r>
      <w:r>
        <w:rPr>
          <w:rFonts w:hint="eastAsia" w:ascii="仿宋" w:hAnsi="仿宋" w:eastAsia="仿宋"/>
          <w:color w:val="auto"/>
          <w:sz w:val="24"/>
          <w:szCs w:val="24"/>
          <w:highlight w:val="none"/>
          <w:lang w:eastAsia="zh-CN"/>
        </w:rPr>
        <w:t>提交甲方所在地有管辖权的人民法院裁定</w:t>
      </w:r>
      <w:r>
        <w:rPr>
          <w:rFonts w:ascii="仿宋" w:hAnsi="仿宋" w:eastAsia="仿宋"/>
          <w:color w:val="auto"/>
          <w:sz w:val="24"/>
          <w:szCs w:val="24"/>
          <w:highlight w:val="none"/>
        </w:rPr>
        <w:t>。</w:t>
      </w:r>
    </w:p>
    <w:p w14:paraId="31047C10">
      <w:pPr>
        <w:numPr>
          <w:ilvl w:val="0"/>
          <w:numId w:val="7"/>
        </w:numPr>
        <w:spacing w:line="360" w:lineRule="auto"/>
        <w:rPr>
          <w:rFonts w:ascii="仿宋" w:hAnsi="仿宋" w:eastAsia="仿宋"/>
          <w:color w:val="auto"/>
          <w:sz w:val="24"/>
          <w:szCs w:val="24"/>
          <w:highlight w:val="none"/>
        </w:rPr>
      </w:pPr>
      <w:r>
        <w:rPr>
          <w:rFonts w:ascii="仿宋" w:hAnsi="仿宋" w:eastAsia="仿宋"/>
          <w:color w:val="auto"/>
          <w:sz w:val="24"/>
          <w:szCs w:val="24"/>
          <w:highlight w:val="none"/>
        </w:rPr>
        <w:t>本协议一式肆份，甲方执贰份，乙方执贰份，自双方签字盖章之日起生效。</w:t>
      </w:r>
    </w:p>
    <w:p w14:paraId="704B63F6">
      <w:pPr>
        <w:spacing w:line="360" w:lineRule="auto"/>
        <w:rPr>
          <w:rFonts w:ascii="仿宋" w:hAnsi="仿宋" w:eastAsia="仿宋"/>
          <w:color w:val="auto"/>
          <w:sz w:val="24"/>
          <w:szCs w:val="24"/>
          <w:highlight w:val="none"/>
        </w:rPr>
      </w:pPr>
    </w:p>
    <w:p w14:paraId="79B1D1D8">
      <w:pPr>
        <w:spacing w:line="360" w:lineRule="auto"/>
        <w:rPr>
          <w:rFonts w:ascii="仿宋" w:hAnsi="仿宋" w:eastAsia="仿宋"/>
          <w:color w:val="auto"/>
          <w:sz w:val="24"/>
          <w:szCs w:val="24"/>
          <w:highlight w:val="none"/>
        </w:rPr>
      </w:pPr>
    </w:p>
    <w:p w14:paraId="6CD267AC">
      <w:pPr>
        <w:rPr>
          <w:rFonts w:ascii="仿宋" w:hAnsi="仿宋" w:eastAsia="仿宋"/>
          <w:color w:val="auto"/>
          <w:sz w:val="24"/>
          <w:szCs w:val="24"/>
          <w:highlight w:val="none"/>
        </w:rPr>
      </w:pPr>
      <w:bookmarkStart w:id="0" w:name="_GoBack"/>
      <w:bookmarkEnd w:id="0"/>
    </w:p>
    <w:p w14:paraId="2D7589D3">
      <w:pPr>
        <w:spacing w:line="360" w:lineRule="auto"/>
        <w:rPr>
          <w:rFonts w:ascii="仿宋" w:hAnsi="仿宋" w:eastAsia="仿宋"/>
          <w:color w:val="auto"/>
          <w:sz w:val="24"/>
          <w:szCs w:val="24"/>
          <w:highlight w:val="none"/>
        </w:rPr>
      </w:pPr>
    </w:p>
    <w:p w14:paraId="398B18A7">
      <w:pPr>
        <w:pageBreakBefore w:val="0"/>
        <w:widowControl/>
        <w:kinsoku/>
        <w:overflowPunct/>
        <w:bidi w:val="0"/>
        <w:spacing w:line="500" w:lineRule="exact"/>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采购人</w:t>
      </w:r>
      <w:r>
        <w:rPr>
          <w:rFonts w:hint="eastAsia" w:ascii="仿宋" w:hAnsi="仿宋" w:eastAsia="仿宋" w:cs="仿宋"/>
          <w:bCs/>
          <w:color w:val="auto"/>
          <w:sz w:val="24"/>
          <w:szCs w:val="24"/>
          <w:highlight w:val="none"/>
          <w:lang w:eastAsia="zh-CN" w:bidi="ar"/>
        </w:rPr>
        <w:t>（</w:t>
      </w:r>
      <w:r>
        <w:rPr>
          <w:rFonts w:hint="eastAsia" w:ascii="仿宋" w:hAnsi="仿宋" w:eastAsia="仿宋" w:cs="仿宋"/>
          <w:bCs/>
          <w:color w:val="auto"/>
          <w:sz w:val="24"/>
          <w:szCs w:val="24"/>
          <w:highlight w:val="none"/>
          <w:lang w:bidi="ar"/>
        </w:rPr>
        <w:t>甲方</w:t>
      </w:r>
      <w:r>
        <w:rPr>
          <w:rFonts w:hint="eastAsia" w:ascii="仿宋" w:hAnsi="仿宋" w:eastAsia="仿宋" w:cs="仿宋"/>
          <w:bCs/>
          <w:color w:val="auto"/>
          <w:sz w:val="24"/>
          <w:szCs w:val="24"/>
          <w:highlight w:val="none"/>
          <w:lang w:eastAsia="zh-CN" w:bidi="ar"/>
        </w:rPr>
        <w:t>）</w:t>
      </w:r>
      <w:r>
        <w:rPr>
          <w:rFonts w:hint="eastAsia" w:ascii="仿宋" w:hAnsi="仿宋" w:eastAsia="仿宋" w:cs="仿宋"/>
          <w:bCs/>
          <w:color w:val="auto"/>
          <w:sz w:val="24"/>
          <w:szCs w:val="24"/>
          <w:highlight w:val="none"/>
          <w:lang w:bidi="ar"/>
        </w:rPr>
        <w:t>：</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供应商</w:t>
      </w:r>
      <w:r>
        <w:rPr>
          <w:rFonts w:hint="eastAsia" w:ascii="仿宋" w:hAnsi="仿宋" w:eastAsia="仿宋" w:cs="仿宋"/>
          <w:bCs/>
          <w:color w:val="auto"/>
          <w:sz w:val="24"/>
          <w:szCs w:val="24"/>
          <w:highlight w:val="none"/>
          <w:lang w:eastAsia="zh-CN" w:bidi="ar"/>
        </w:rPr>
        <w:t>（</w:t>
      </w:r>
      <w:r>
        <w:rPr>
          <w:rFonts w:hint="eastAsia" w:ascii="仿宋" w:hAnsi="仿宋" w:eastAsia="仿宋" w:cs="仿宋"/>
          <w:bCs/>
          <w:color w:val="auto"/>
          <w:sz w:val="24"/>
          <w:szCs w:val="24"/>
          <w:highlight w:val="none"/>
          <w:lang w:bidi="ar"/>
        </w:rPr>
        <w:t>乙方</w:t>
      </w:r>
      <w:r>
        <w:rPr>
          <w:rFonts w:hint="eastAsia" w:ascii="仿宋" w:hAnsi="仿宋" w:eastAsia="仿宋" w:cs="仿宋"/>
          <w:bCs/>
          <w:color w:val="auto"/>
          <w:sz w:val="24"/>
          <w:szCs w:val="24"/>
          <w:highlight w:val="none"/>
          <w:lang w:eastAsia="zh-CN" w:bidi="ar"/>
        </w:rPr>
        <w:t>）</w:t>
      </w:r>
      <w:r>
        <w:rPr>
          <w:rFonts w:hint="eastAsia" w:ascii="仿宋" w:hAnsi="仿宋" w:eastAsia="仿宋" w:cs="仿宋"/>
          <w:bCs/>
          <w:color w:val="auto"/>
          <w:sz w:val="24"/>
          <w:szCs w:val="24"/>
          <w:highlight w:val="none"/>
          <w:lang w:bidi="ar"/>
        </w:rPr>
        <w:t>：</w:t>
      </w:r>
    </w:p>
    <w:p w14:paraId="4CE0B741">
      <w:pPr>
        <w:pageBreakBefore w:val="0"/>
        <w:widowControl/>
        <w:kinsoku/>
        <w:overflowPunct/>
        <w:bidi w:val="0"/>
        <w:spacing w:line="500" w:lineRule="exact"/>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法定代表人</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法定代表人</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p>
    <w:p w14:paraId="49C9966C">
      <w:pPr>
        <w:pageBreakBefore w:val="0"/>
        <w:widowControl/>
        <w:kinsoku/>
        <w:overflowPunct/>
        <w:bidi w:val="0"/>
        <w:spacing w:line="500" w:lineRule="exact"/>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eastAsia="zh-CN" w:bidi="ar"/>
        </w:rPr>
        <w:t>或</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委托代理人</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eastAsia="zh-CN" w:bidi="ar"/>
        </w:rPr>
        <w:t>或</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委托代理人</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p>
    <w:p w14:paraId="4C204FD8">
      <w:pPr>
        <w:pageBreakBefore w:val="0"/>
        <w:widowControl/>
        <w:kinsoku/>
        <w:overflowPunct/>
        <w:bidi w:val="0"/>
        <w:spacing w:line="500" w:lineRule="exact"/>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开户银行</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开户银行</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p>
    <w:p w14:paraId="2E4FDC8B">
      <w:pPr>
        <w:pageBreakBefore w:val="0"/>
        <w:widowControl/>
        <w:kinsoku/>
        <w:overflowPunct/>
        <w:bidi w:val="0"/>
        <w:spacing w:line="500" w:lineRule="exact"/>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账    号：</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账    号：</w:t>
      </w:r>
    </w:p>
    <w:p w14:paraId="791A40CA">
      <w:pPr>
        <w:pageBreakBefore w:val="0"/>
        <w:widowControl/>
        <w:kinsoku/>
        <w:overflowPunct/>
        <w:bidi w:val="0"/>
        <w:spacing w:line="500" w:lineRule="exact"/>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电    话：</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电    话：</w:t>
      </w:r>
    </w:p>
    <w:p w14:paraId="78D658AA">
      <w:pPr>
        <w:pageBreakBefore w:val="0"/>
        <w:widowControl/>
        <w:kinsoku/>
        <w:overflowPunct/>
        <w:bidi w:val="0"/>
        <w:spacing w:line="500" w:lineRule="exact"/>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地    址：</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地    址：</w:t>
      </w:r>
    </w:p>
    <w:p w14:paraId="371BF07C">
      <w:pPr>
        <w:spacing w:line="360" w:lineRule="auto"/>
        <w:rPr>
          <w:rFonts w:ascii="仿宋" w:hAnsi="仿宋" w:eastAsia="仿宋"/>
          <w:color w:val="auto"/>
          <w:sz w:val="22"/>
          <w:szCs w:val="22"/>
          <w:highlight w:val="none"/>
        </w:rPr>
      </w:pPr>
      <w:r>
        <w:rPr>
          <w:rFonts w:hint="eastAsia" w:ascii="仿宋" w:hAnsi="仿宋" w:eastAsia="仿宋" w:cs="仿宋"/>
          <w:bCs/>
          <w:color w:val="auto"/>
          <w:sz w:val="24"/>
          <w:szCs w:val="24"/>
          <w:highlight w:val="none"/>
          <w:lang w:bidi="ar"/>
        </w:rPr>
        <w:t xml:space="preserve">时    间：  年月日   </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 xml:space="preserve"> 时    间： 年月日</w:t>
      </w:r>
    </w:p>
    <w:p w14:paraId="3902876A">
      <w:pPr>
        <w:spacing w:line="360" w:lineRule="auto"/>
        <w:rPr>
          <w:rFonts w:ascii="仿宋" w:hAnsi="仿宋" w:eastAsia="仿宋"/>
          <w:color w:val="auto"/>
          <w:sz w:val="28"/>
          <w:szCs w:val="28"/>
          <w:highlight w:val="none"/>
        </w:rPr>
      </w:pPr>
    </w:p>
    <w:p w14:paraId="108005A4">
      <w:pPr>
        <w:pStyle w:val="10"/>
        <w:spacing w:line="360" w:lineRule="auto"/>
        <w:rPr>
          <w:rFonts w:hint="eastAsia"/>
          <w:color w:val="auto"/>
          <w:sz w:val="18"/>
          <w:szCs w:val="18"/>
          <w:highlight w:val="none"/>
          <w:lang w:val="en-US" w:eastAsia="zh-Hans"/>
        </w:rPr>
      </w:pPr>
    </w:p>
    <w:p w14:paraId="7A5FAD7B">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E34B7"/>
    <w:multiLevelType w:val="multilevel"/>
    <w:tmpl w:val="005E34B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109F51AB"/>
    <w:multiLevelType w:val="multilevel"/>
    <w:tmpl w:val="109F51A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46BD0E3F"/>
    <w:multiLevelType w:val="multilevel"/>
    <w:tmpl w:val="46BD0E3F"/>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51F20405"/>
    <w:multiLevelType w:val="multilevel"/>
    <w:tmpl w:val="51F20405"/>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57220C27"/>
    <w:multiLevelType w:val="multilevel"/>
    <w:tmpl w:val="57220C2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632A1F28"/>
    <w:multiLevelType w:val="multilevel"/>
    <w:tmpl w:val="632A1F2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693F5775"/>
    <w:multiLevelType w:val="multilevel"/>
    <w:tmpl w:val="693F5775"/>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5"/>
  </w:num>
  <w:num w:numId="3">
    <w:abstractNumId w:val="3"/>
  </w:num>
  <w:num w:numId="4">
    <w:abstractNumId w:val="2"/>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76996"/>
    <w:rsid w:val="07F0625F"/>
    <w:rsid w:val="0879362F"/>
    <w:rsid w:val="0C3C67EC"/>
    <w:rsid w:val="1DB21974"/>
    <w:rsid w:val="2D3B0FA2"/>
    <w:rsid w:val="2DD03312"/>
    <w:rsid w:val="2E2012A6"/>
    <w:rsid w:val="305C62BC"/>
    <w:rsid w:val="3EED21DA"/>
    <w:rsid w:val="41DD3FC8"/>
    <w:rsid w:val="4BE1589E"/>
    <w:rsid w:val="53882740"/>
    <w:rsid w:val="583077A8"/>
    <w:rsid w:val="58471E4A"/>
    <w:rsid w:val="5C597204"/>
    <w:rsid w:val="5FE61668"/>
    <w:rsid w:val="6BDF0B31"/>
    <w:rsid w:val="741916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3">
    <w:name w:val="footer"/>
    <w:basedOn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9"/>
    <w:basedOn w:val="1"/>
    <w:next w:val="1"/>
    <w:unhideWhenUsed/>
    <w:qFormat/>
    <w:uiPriority w:val="39"/>
    <w:pPr>
      <w:ind w:left="3360" w:leftChars="1600"/>
    </w:p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Hyperlink"/>
    <w:basedOn w:val="7"/>
    <w:unhideWhenUsed/>
    <w:qFormat/>
    <w:uiPriority w:val="99"/>
    <w:rPr>
      <w:rFonts w:hint="eastAsia" w:ascii="宋体" w:hAnsi="宋体" w:eastAsia="宋体" w:cs="宋体"/>
      <w:color w:val="000000"/>
      <w:sz w:val="14"/>
      <w:szCs w:val="14"/>
      <w:u w:val="none"/>
    </w:rPr>
  </w:style>
  <w:style w:type="paragraph" w:customStyle="1" w:styleId="9">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0">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1543</Words>
  <Characters>1563</Characters>
  <Lines>0</Lines>
  <Paragraphs>0</Paragraphs>
  <TotalTime>0</TotalTime>
  <ScaleCrop>false</ScaleCrop>
  <LinksUpToDate>false</LinksUpToDate>
  <CharactersWithSpaces>1795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2023-12-29T09:02:00Z</dcterms:created>
  <dc:creator>Administrator</dc:creator>
  <cp:lastModifiedBy>admin</cp:lastModifiedBy>
  <dcterms:modified xsi:type="dcterms:W3CDTF">2026-06-16T09:13:04Z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D770E735D0784C64A8EC4765DD271DB9_13</vt:lpwstr>
  </property>
  <property fmtid="{D5CDD505-2E9C-101B-9397-08002B2CF9AE}" pid="4" name="KSOTemplateDocerSaveRecord">
    <vt:lpwstr>eyJoZGlkIjoiY2U0M2E2ZjcwYzFiMjk5NDE5ZDJmY2FlMmRmOWFkY2EiLCJ1c2VySWQiOiI0NTM5NzY3MDQifQ==</vt:lpwstr>
  </property>
</Properties>
</file>