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版本号：ZCSP-渭南市-2026-00207、0617-2624FZ128920260617001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陕西省第十八届运动会2026年电视台开设宣传专栏项目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ZCSP-渭南市-2026-00207、0617-2624FZ1289</w:t>
      </w:r>
      <w:r>
        <w:br/>
      </w:r>
      <w:r>
        <w:br/>
      </w:r>
      <w:r>
        <w:br/>
      </w:r>
    </w:p>
    <w:p>
      <w:pPr>
        <w:pStyle w:val="null3"/>
        <w:jc w:val="center"/>
        <w:outlineLvl w:val="5"/>
      </w:pPr>
      <w:r>
        <w:rPr>
          <w:rFonts w:ascii="仿宋_GB2312" w:hAnsi="仿宋_GB2312" w:cs="仿宋_GB2312" w:eastAsia="仿宋_GB2312"/>
          <w:sz w:val="15"/>
          <w:b/>
        </w:rPr>
        <w:t>陕西省第十八届运动会筹委会办公室</w:t>
      </w:r>
    </w:p>
    <w:p>
      <w:pPr>
        <w:pStyle w:val="null3"/>
        <w:jc w:val="center"/>
        <w:outlineLvl w:val="5"/>
      </w:pPr>
      <w:r>
        <w:rPr>
          <w:rFonts w:ascii="仿宋_GB2312" w:hAnsi="仿宋_GB2312" w:cs="仿宋_GB2312" w:eastAsia="仿宋_GB2312"/>
          <w:sz w:val="15"/>
          <w:b/>
        </w:rPr>
        <w:t>西北(陕西)国际招标有限公司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陕西省第十八届运动会2026年电视台开设宣传专栏项目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ZCSP-渭南市-2026-00207、0617-2624FZ1289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陕西省第十八届运动会2026年电视台开设宣传专栏项目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陕西省第十八届运动会2026年电视台开设宣传专栏项目，具体内容详见单一来源采购文件。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1、授权委托书/法定代表人身份：提供法定代表人授权书 (附法定代表人、被授权人身份证复印件) 或提供法定代表人身份证明及身份证复印件（法定代表人直接参加单一来源协商)。</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p>
      <w:pPr>
        <w:pStyle w:val="null3"/>
      </w:pPr>
      <w:r>
        <w:rPr>
          <w:rFonts w:ascii="仿宋_GB2312" w:hAnsi="仿宋_GB2312" w:cs="仿宋_GB2312" w:eastAsia="仿宋_GB2312"/>
        </w:rPr>
        <w:t>3、供应商资质：供应商须具备有效的《广播电视节目制作经营许可证》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13909132202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任晓洁、徐西文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代理服务费收费标准：确定成交人后3个工作日内，由成交人参照国家计委《招标代理服务收费管理暂行办法》（计价格[2002]1980号文）规定的标准向招标代理机构一次付清招标代理服务费。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以采购合同约定为准</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开设《聚焦省运》专栏同时配合省媒体做好其他宣传工作。通过持续宣传运营，以《聚焦省运》专栏为核心，联动省台形成宣传合力，构建“专栏报道+新闻速递+短视频传播”的立体宣传矩阵，营造浓厚的省运氛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陕西省第十八届运动会2026年电视台开设宣传专栏项目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标的名称：陕西省第十八届运动会2026年电视台开设宣传专栏项目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（一）宣传平台与专栏设置</w:t>
            </w:r>
          </w:p>
          <w:p>
            <w:pPr>
              <w:pStyle w:val="null3"/>
            </w:pPr>
            <w:r>
              <w:rPr>
                <w:rFonts w:ascii="仿宋_GB2312" w:hAnsi="仿宋_GB2312" w:cs="仿宋_GB2312" w:eastAsia="仿宋_GB2312"/>
              </w:rPr>
              <w:t>供应商整合全台所有宣传资源，实现全时段、全覆盖、多频次宣传：</w:t>
            </w:r>
          </w:p>
          <w:p>
            <w:pPr>
              <w:pStyle w:val="null3"/>
            </w:pPr>
            <w:r>
              <w:rPr>
                <w:rFonts w:ascii="仿宋_GB2312" w:hAnsi="仿宋_GB2312" w:cs="仿宋_GB2312" w:eastAsia="仿宋_GB2312"/>
              </w:rPr>
              <w:t>1.广播电视平台</w:t>
            </w:r>
          </w:p>
          <w:p>
            <w:pPr>
              <w:pStyle w:val="null3"/>
            </w:pPr>
            <w:r>
              <w:rPr>
                <w:rFonts w:ascii="仿宋_GB2312" w:hAnsi="仿宋_GB2312" w:cs="仿宋_GB2312" w:eastAsia="仿宋_GB2312"/>
              </w:rPr>
              <w:t>渭南广播电视台各电视频道、各广播频率全平台联动；开设《聚焦省运》专栏。对《省运进行时》《赛场速递》《省运人物志》进行融媒宣传。</w:t>
            </w:r>
          </w:p>
          <w:p>
            <w:pPr>
              <w:pStyle w:val="null3"/>
            </w:pPr>
            <w:r>
              <w:rPr>
                <w:rFonts w:ascii="仿宋_GB2312" w:hAnsi="仿宋_GB2312" w:cs="仿宋_GB2312" w:eastAsia="仿宋_GB2312"/>
              </w:rPr>
              <w:t>2.新媒体矩阵</w:t>
            </w:r>
          </w:p>
          <w:p>
            <w:pPr>
              <w:pStyle w:val="null3"/>
            </w:pPr>
            <w:r>
              <w:rPr>
                <w:rFonts w:ascii="仿宋_GB2312" w:hAnsi="仿宋_GB2312" w:cs="仿宋_GB2312" w:eastAsia="仿宋_GB2312"/>
              </w:rPr>
              <w:t>华山网、渭水之南</w:t>
            </w:r>
            <w:r>
              <w:rPr>
                <w:rFonts w:ascii="仿宋_GB2312" w:hAnsi="仿宋_GB2312" w:cs="仿宋_GB2312" w:eastAsia="仿宋_GB2312"/>
              </w:rPr>
              <w:t>APP、渭南广播电视台视频号/抖音号/快手号、渭南新闻微信公众号/视频号、东秦百姓抖音号、全民爱体育视频号等全平台同步宣传。</w:t>
            </w:r>
          </w:p>
          <w:p>
            <w:pPr>
              <w:pStyle w:val="null3"/>
            </w:pPr>
            <w:r>
              <w:rPr>
                <w:rFonts w:ascii="仿宋_GB2312" w:hAnsi="仿宋_GB2312" w:cs="仿宋_GB2312" w:eastAsia="仿宋_GB2312"/>
              </w:rPr>
              <w:t>（二）核心宣传内容与任务</w:t>
            </w:r>
          </w:p>
          <w:p>
            <w:pPr>
              <w:pStyle w:val="null3"/>
            </w:pPr>
            <w:r>
              <w:rPr>
                <w:rFonts w:ascii="仿宋_GB2312" w:hAnsi="仿宋_GB2312" w:cs="仿宋_GB2312" w:eastAsia="仿宋_GB2312"/>
              </w:rPr>
              <w:t>1.筹备冲刺宣传</w:t>
            </w:r>
          </w:p>
          <w:p>
            <w:pPr>
              <w:pStyle w:val="null3"/>
            </w:pPr>
            <w:r>
              <w:rPr>
                <w:rFonts w:ascii="仿宋_GB2312" w:hAnsi="仿宋_GB2312" w:cs="仿宋_GB2312" w:eastAsia="仿宋_GB2312"/>
              </w:rPr>
              <w:t>省运会倒计时系列、场馆建设验收、赛事组织、志愿服务、火炬传递、开闭幕式排练、城市氛围营造等全程报道。</w:t>
            </w:r>
          </w:p>
          <w:p>
            <w:pPr>
              <w:pStyle w:val="null3"/>
            </w:pPr>
            <w:r>
              <w:rPr>
                <w:rFonts w:ascii="仿宋_GB2312" w:hAnsi="仿宋_GB2312" w:cs="仿宋_GB2312" w:eastAsia="仿宋_GB2312"/>
              </w:rPr>
              <w:t>2.赛会核心宣传</w:t>
            </w:r>
          </w:p>
          <w:p>
            <w:pPr>
              <w:pStyle w:val="null3"/>
            </w:pPr>
            <w:r>
              <w:rPr>
                <w:rFonts w:ascii="仿宋_GB2312" w:hAnsi="仿宋_GB2312" w:cs="仿宋_GB2312" w:eastAsia="仿宋_GB2312"/>
              </w:rPr>
              <w:t>开闭幕式网络直播；每日赛事战报、奖牌榜实时发布；运动员、教练员、志愿者、保障团队典型事迹报道；省运文化活动宣传。</w:t>
            </w:r>
          </w:p>
          <w:p>
            <w:pPr>
              <w:pStyle w:val="null3"/>
            </w:pPr>
            <w:r>
              <w:rPr>
                <w:rFonts w:ascii="仿宋_GB2312" w:hAnsi="仿宋_GB2312" w:cs="仿宋_GB2312" w:eastAsia="仿宋_GB2312"/>
              </w:rPr>
              <w:t>3.赛后成果宣传</w:t>
            </w:r>
          </w:p>
          <w:p>
            <w:pPr>
              <w:pStyle w:val="null3"/>
            </w:pPr>
            <w:r>
              <w:rPr>
                <w:rFonts w:ascii="仿宋_GB2312" w:hAnsi="仿宋_GB2312" w:cs="仿宋_GB2312" w:eastAsia="仿宋_GB2312"/>
                <w:sz w:val="21"/>
              </w:rPr>
              <w:t>省运会成果总结、精彩瞬间回顾、省运遗产与城市发展成效系列宣传。</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签订合同日起至2026年12月31日止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渭南广播电视台</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预付款，合同签订后15个工作日内，达到付款条件起15个工作日内，支付合同总金额的40.0%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进度款，合同期满后，达到付款条件起15个工作日内，支付合同总金额的60.0%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执行的国家相关标准、行业标准、地方标准或者其他标准、规范，则统一执行最新标准、规范，符合项目实际采购需要，符合项目实施要求。由采购单位对项目交付成果组织验收，按采购文件、投标文件及澄清函、项目检查情况等综合指标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本项目采购活动执行下列政府采购政策：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中国人民银行西安分行关于深入推进政府采购信用融资业务通知(陕财办采〔2023〕5号)； （14）《国务院办公厅关于在政府采购中实施本国产品标准及相关政策的通知》国办发〔2025〕34号； （15）《关于推动解决政府采购异常低价问题的通知》（财库〔2026〕2号）； （16）《陕西省财政厅关于规范政府采购项目评审主观分赋分有关事项的通知》（陕财办采函〔2026〕10号）； （17）其他需执行的政府采购政策。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依法缴纳税收的良好记录。提供缴费所属日期为投标截止时间前12个月内任一月份（响应文件递交截止时间当月不计入）的缴费凭据或税务机关出具的完税证明或（在法规范围内不需提供的应出具书面说明或证明文件）；/或具有依法缴纳税收的诚信声明；以上二种形式的资料提供任何一种即可。3.具有依法缴纳社会保障资金的良好记录。提供缴费所属日期为响应文件递交截止时间前12个月内任一月份（响应文件递交截止时间当月不计入）的缴费凭据或社保机关出具的缴费证明（在法规范围内不需提供的应出具书面说明和证明文件）/或具有依法缴纳社会保障资金的缴纳记录的诚信声明；以上二种形式的资料提供任何一种即可。4.具有履行合同所必需的设备和专业技术能力。提供声明文件；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资格部分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度经审计的财务报告（包括四表一注，即资产负债表、利润表、现金流量表、所有者权益变动表及其附注），且无反对意见；事业法人提供部门决算报告；/或在响应文件递交截止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资格部分</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或提供法定代表人身份证明及身份证复印件（法定代表人直接参加单一来源协商)。</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同时采购代理机构将打印上述失信记录作为无效响应的证据留存。</w:t>
            </w:r>
          </w:p>
        </w:tc>
        <w:tc>
          <w:tcPr>
            <w:tcW w:type="dxa" w:w="1661"/>
          </w:tcPr>
          <w:p>
            <w:pPr>
              <w:pStyle w:val="null3"/>
            </w:pPr>
            <w:r>
              <w:rPr>
                <w:rFonts w:ascii="仿宋_GB2312" w:hAnsi="仿宋_GB2312" w:cs="仿宋_GB2312" w:eastAsia="仿宋_GB2312"/>
              </w:rPr>
              <w:t>资格部分</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供应商须具备有效的《广播电视节目制作经营许可证》</w:t>
            </w:r>
          </w:p>
        </w:tc>
        <w:tc>
          <w:tcPr>
            <w:tcW w:type="dxa" w:w="1661"/>
          </w:tcPr>
          <w:p>
            <w:pPr>
              <w:pStyle w:val="null3"/>
            </w:pPr>
            <w:r>
              <w:rPr>
                <w:rFonts w:ascii="仿宋_GB2312" w:hAnsi="仿宋_GB2312" w:cs="仿宋_GB2312" w:eastAsia="仿宋_GB2312"/>
              </w:rPr>
              <w:t>资格部分</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商务应答表 服务内容及服务要求应答表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协商过程中，协商小组认为供应商的报价明显低于其他实质性响应的供应商报价，有可能影响产品质量或者不能诚信履约的，协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资格部分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1.响应文件是否按照单一来源采购文件要求的格式编写； 2.响应报价内容是否有重大缺漏项： 1）是否按单一来源采购文件要求完整报价、无缺漏项； 2）响应文件构成是否完整，即是否按单一来源采购文件要求提供了完整的响应文件； 3）单一来源采购文件要求提供的其他内容（如有）。</w:t>
            </w:r>
          </w:p>
        </w:tc>
        <w:tc>
          <w:tcPr>
            <w:tcW w:type="dxa" w:w="1661"/>
          </w:tcPr>
          <w:p>
            <w:pPr>
              <w:pStyle w:val="null3"/>
            </w:pPr>
            <w:r>
              <w:rPr>
                <w:rFonts w:ascii="仿宋_GB2312" w:hAnsi="仿宋_GB2312" w:cs="仿宋_GB2312" w:eastAsia="仿宋_GB2312"/>
              </w:rPr>
              <w:t>响应文件封面 中小企业声明函 残疾人福利性单位声明函 资格部分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中小企业声明函 残疾人福利性单位声明函 资格部分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1.响应报价是否超过采购预算； 2.响应报价有效期是否符合单一来源采购文件的要求； 3.响应文件内容是否符合国家法律法规，没有重大偏离； 4.对单一来源采购文件中规定的要求是否做出了实质性响应。</w:t>
            </w:r>
          </w:p>
        </w:tc>
        <w:tc>
          <w:tcPr>
            <w:tcW w:type="dxa" w:w="1661"/>
          </w:tcPr>
          <w:p>
            <w:pPr>
              <w:pStyle w:val="null3"/>
            </w:pPr>
            <w:r>
              <w:rPr>
                <w:rFonts w:ascii="仿宋_GB2312" w:hAnsi="仿宋_GB2312" w:cs="仿宋_GB2312" w:eastAsia="仿宋_GB2312"/>
              </w:rPr>
              <w:t>响应文件封面 中小企业声明函 残疾人福利性单位声明函 资格部分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异常低价投标（响应）审查</w:t>
            </w:r>
          </w:p>
        </w:tc>
        <w:tc>
          <w:tcPr>
            <w:tcW w:type="dxa" w:w="3322"/>
          </w:tcPr>
          <w:p>
            <w:pPr>
              <w:pStyle w:val="null3"/>
            </w:pPr>
            <w:r>
              <w:rPr>
                <w:rFonts w:ascii="仿宋_GB2312" w:hAnsi="仿宋_GB2312" w:cs="仿宋_GB2312" w:eastAsia="仿宋_GB2312"/>
              </w:rPr>
              <w:t>存在下列情形之一的，评审委员会应当启动异常低价投标（响应）审查程序：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详见附件：资格部分</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