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1288F9">
      <w:pPr>
        <w:pStyle w:val="6"/>
        <w:jc w:val="center"/>
        <w:outlineLvl w:val="1"/>
        <w:rPr>
          <w:rFonts w:hint="default"/>
        </w:rPr>
      </w:pPr>
      <w:r>
        <w:rPr>
          <w:b/>
          <w:sz w:val="36"/>
        </w:rPr>
        <w:t>第</w:t>
      </w:r>
      <w:r>
        <w:rPr>
          <w:rFonts w:hint="eastAsia"/>
          <w:b/>
          <w:sz w:val="36"/>
          <w:lang w:eastAsia="zh-CN"/>
        </w:rPr>
        <w:t>八</w:t>
      </w:r>
      <w:r>
        <w:rPr>
          <w:b/>
          <w:sz w:val="36"/>
        </w:rPr>
        <w:t>章 拟签订合同文本</w:t>
      </w:r>
    </w:p>
    <w:p w14:paraId="11228B5B">
      <w:pPr>
        <w:jc w:val="center"/>
        <w:rPr>
          <w:rFonts w:ascii="宋体" w:hAnsi="宋体" w:cs="宋体"/>
          <w:b/>
          <w:sz w:val="36"/>
          <w:szCs w:val="36"/>
        </w:rPr>
      </w:pPr>
    </w:p>
    <w:p w14:paraId="07DD4370">
      <w:pPr>
        <w:pStyle w:val="3"/>
        <w:keepNext w:val="0"/>
        <w:keepLines w:val="0"/>
        <w:widowControl w:val="0"/>
        <w:suppressLineNumbers w:val="0"/>
        <w:spacing w:before="0" w:beforeAutospacing="0" w:after="0" w:afterAutospacing="0" w:line="360" w:lineRule="auto"/>
        <w:ind w:left="0" w:right="0" w:firstLine="0"/>
        <w:jc w:val="center"/>
        <w:outlineLvl w:val="1"/>
        <w:rPr>
          <w:rFonts w:hint="eastAsia" w:ascii="黑体" w:hAnsi="宋体" w:eastAsia="宋体" w:cs="Times New Roman"/>
          <w:b/>
          <w:bCs/>
          <w:color w:val="000000"/>
          <w:kern w:val="2"/>
          <w:sz w:val="24"/>
          <w:szCs w:val="24"/>
        </w:rPr>
      </w:pPr>
      <w:r>
        <w:rPr>
          <w:rFonts w:hint="eastAsia" w:ascii="宋体" w:hAnsi="宋体" w:eastAsia="宋体" w:cs="宋体"/>
          <w:b/>
          <w:bCs/>
          <w:color w:val="000000"/>
          <w:kern w:val="2"/>
          <w:sz w:val="24"/>
          <w:szCs w:val="24"/>
          <w:lang w:val="en-US" w:eastAsia="zh-CN" w:bidi="ar"/>
        </w:rPr>
        <w:t>（本合同为中小企业预留份额合同）</w:t>
      </w:r>
    </w:p>
    <w:p w14:paraId="405DCC6C">
      <w:pPr>
        <w:tabs>
          <w:tab w:val="left" w:pos="720"/>
        </w:tabs>
        <w:spacing w:line="360" w:lineRule="auto"/>
        <w:jc w:val="center"/>
        <w:rPr>
          <w:rFonts w:hint="eastAsia" w:ascii="仿宋_GB2312" w:hAnsi="仿宋" w:eastAsia="仿宋_GB2312" w:cs="Times New Roman"/>
          <w:b/>
          <w:sz w:val="48"/>
          <w:szCs w:val="48"/>
        </w:rPr>
      </w:pPr>
      <w:r>
        <w:rPr>
          <w:rFonts w:hint="eastAsia" w:ascii="仿宋_GB2312" w:hAnsi="仿宋" w:eastAsia="仿宋_GB2312" w:cs="Times New Roman"/>
          <w:b/>
          <w:sz w:val="48"/>
          <w:szCs w:val="48"/>
        </w:rPr>
        <w:t>政府采购合同书</w:t>
      </w:r>
    </w:p>
    <w:p w14:paraId="212E5684">
      <w:pPr>
        <w:tabs>
          <w:tab w:val="left" w:pos="720"/>
        </w:tabs>
        <w:spacing w:line="360" w:lineRule="auto"/>
        <w:rPr>
          <w:rFonts w:hint="eastAsia" w:ascii="仿宋_GB2312" w:hAnsi="仿宋" w:eastAsia="仿宋_GB2312" w:cs="Times New Roman"/>
          <w:b/>
          <w:sz w:val="28"/>
          <w:szCs w:val="28"/>
        </w:rPr>
      </w:pPr>
    </w:p>
    <w:p w14:paraId="5315A837">
      <w:pPr>
        <w:tabs>
          <w:tab w:val="left" w:pos="720"/>
        </w:tabs>
        <w:spacing w:line="360" w:lineRule="auto"/>
        <w:rPr>
          <w:rFonts w:hint="eastAsia" w:ascii="仿宋_GB2312" w:hAnsi="仿宋" w:eastAsia="仿宋_GB2312" w:cs="Times New Roman"/>
          <w:b/>
          <w:sz w:val="28"/>
          <w:szCs w:val="28"/>
        </w:rPr>
      </w:pPr>
    </w:p>
    <w:p w14:paraId="27D2C549">
      <w:pPr>
        <w:tabs>
          <w:tab w:val="left" w:pos="720"/>
        </w:tabs>
        <w:spacing w:line="360" w:lineRule="auto"/>
        <w:rPr>
          <w:rFonts w:hint="eastAsia" w:ascii="仿宋_GB2312" w:hAnsi="仿宋" w:eastAsia="仿宋_GB2312" w:cs="Times New Roman"/>
          <w:b/>
          <w:sz w:val="28"/>
          <w:szCs w:val="28"/>
        </w:rPr>
      </w:pPr>
      <w:bookmarkStart w:id="0" w:name="_GoBack"/>
      <w:bookmarkEnd w:id="0"/>
    </w:p>
    <w:p w14:paraId="7924B33B">
      <w:pPr>
        <w:tabs>
          <w:tab w:val="left" w:pos="720"/>
        </w:tabs>
        <w:spacing w:line="360" w:lineRule="auto"/>
        <w:rPr>
          <w:rFonts w:hint="eastAsia" w:ascii="仿宋_GB2312" w:hAnsi="仿宋" w:eastAsia="仿宋_GB2312" w:cs="Times New Roman"/>
          <w:b/>
          <w:sz w:val="28"/>
          <w:szCs w:val="28"/>
        </w:rPr>
      </w:pPr>
    </w:p>
    <w:p w14:paraId="1A661ADB">
      <w:pPr>
        <w:ind w:firstLine="420"/>
        <w:rPr>
          <w:rFonts w:ascii="宋体" w:hAnsi="Courier New" w:eastAsia="宋体" w:cs="Times New Roman"/>
          <w:szCs w:val="20"/>
        </w:rPr>
      </w:pPr>
    </w:p>
    <w:p w14:paraId="15F3B872">
      <w:pPr>
        <w:ind w:firstLine="420"/>
        <w:rPr>
          <w:rFonts w:ascii="宋体" w:hAnsi="Courier New" w:eastAsia="宋体" w:cs="Times New Roman"/>
          <w:szCs w:val="20"/>
        </w:rPr>
      </w:pPr>
    </w:p>
    <w:p w14:paraId="1A282A7B">
      <w:pPr>
        <w:ind w:firstLine="420"/>
        <w:rPr>
          <w:rFonts w:ascii="宋体" w:hAnsi="Courier New" w:eastAsia="宋体" w:cs="Times New Roman"/>
          <w:szCs w:val="20"/>
        </w:rPr>
      </w:pPr>
    </w:p>
    <w:p w14:paraId="7B4FBD58">
      <w:pPr>
        <w:ind w:firstLine="420"/>
        <w:rPr>
          <w:rFonts w:ascii="宋体" w:hAnsi="Courier New" w:eastAsia="宋体" w:cs="Times New Roman"/>
          <w:szCs w:val="20"/>
        </w:rPr>
      </w:pPr>
    </w:p>
    <w:p w14:paraId="7CC81B1A">
      <w:pPr>
        <w:ind w:firstLine="420"/>
        <w:rPr>
          <w:rFonts w:ascii="宋体" w:hAnsi="Courier New" w:eastAsia="宋体" w:cs="Times New Roman"/>
          <w:szCs w:val="20"/>
        </w:rPr>
      </w:pPr>
    </w:p>
    <w:p w14:paraId="49BA31BC">
      <w:pPr>
        <w:tabs>
          <w:tab w:val="left" w:pos="720"/>
        </w:tabs>
        <w:spacing w:line="360" w:lineRule="auto"/>
        <w:rPr>
          <w:rFonts w:hint="eastAsia" w:ascii="仿宋_GB2312" w:hAnsi="仿宋" w:eastAsia="仿宋_GB2312" w:cs="Times New Roman"/>
          <w:b/>
          <w:sz w:val="28"/>
          <w:szCs w:val="28"/>
        </w:rPr>
      </w:pPr>
      <w:r>
        <w:rPr>
          <w:rFonts w:hint="eastAsia" w:ascii="仿宋_GB2312" w:hAnsi="仿宋" w:eastAsia="仿宋_GB2312" w:cs="Times New Roman"/>
          <w:b/>
          <w:sz w:val="28"/>
          <w:szCs w:val="28"/>
        </w:rPr>
        <w:t xml:space="preserve">采购编号： </w:t>
      </w:r>
    </w:p>
    <w:p w14:paraId="20EFE5FC">
      <w:pPr>
        <w:tabs>
          <w:tab w:val="left" w:pos="720"/>
        </w:tabs>
        <w:spacing w:line="360" w:lineRule="auto"/>
        <w:rPr>
          <w:rFonts w:hint="eastAsia" w:ascii="仿宋_GB2312" w:hAnsi="仿宋" w:eastAsia="仿宋_GB2312" w:cs="Times New Roman"/>
          <w:b/>
          <w:sz w:val="28"/>
          <w:szCs w:val="28"/>
        </w:rPr>
      </w:pPr>
      <w:r>
        <w:rPr>
          <w:rFonts w:hint="eastAsia" w:ascii="仿宋_GB2312" w:hAnsi="仿宋" w:eastAsia="仿宋_GB2312" w:cs="Times New Roman"/>
          <w:b/>
          <w:sz w:val="28"/>
          <w:szCs w:val="28"/>
        </w:rPr>
        <w:t xml:space="preserve">项目名称：   </w:t>
      </w:r>
    </w:p>
    <w:p w14:paraId="625B2BFA">
      <w:pPr>
        <w:spacing w:line="360" w:lineRule="auto"/>
        <w:rPr>
          <w:rFonts w:hint="eastAsia" w:ascii="仿宋_GB2312" w:hAnsi="仿宋" w:eastAsia="仿宋_GB2312" w:cs="Times New Roman"/>
          <w:sz w:val="28"/>
          <w:szCs w:val="28"/>
        </w:rPr>
      </w:pPr>
    </w:p>
    <w:p w14:paraId="1778D7D7">
      <w:pPr>
        <w:rPr>
          <w:rFonts w:hint="eastAsia" w:ascii="仿宋_GB2312" w:hAnsi="仿宋" w:eastAsia="仿宋_GB2312" w:cs="Times New Roman"/>
          <w:b/>
          <w:sz w:val="28"/>
          <w:szCs w:val="28"/>
        </w:rPr>
      </w:pPr>
      <w:r>
        <w:rPr>
          <w:rFonts w:hint="eastAsia" w:ascii="仿宋_GB2312" w:hAnsi="仿宋" w:eastAsia="仿宋_GB2312" w:cs="Times New Roman"/>
          <w:b/>
          <w:sz w:val="24"/>
          <w:szCs w:val="24"/>
        </w:rPr>
        <w:t>注：本合同仅为合同的参考文本，合同签订双方可根据项目的具体要求进行修订，但不得偏离实质性条款。</w:t>
      </w:r>
    </w:p>
    <w:p w14:paraId="6500CBB7">
      <w:pPr>
        <w:spacing w:line="360" w:lineRule="auto"/>
        <w:jc w:val="center"/>
        <w:rPr>
          <w:rFonts w:hint="eastAsia" w:ascii="宋体" w:hAnsi="宋体" w:eastAsia="宋体" w:cs="Times New Roman"/>
          <w:b/>
          <w:sz w:val="24"/>
          <w:szCs w:val="24"/>
        </w:rPr>
      </w:pPr>
    </w:p>
    <w:p w14:paraId="724717CA">
      <w:pPr>
        <w:spacing w:line="360" w:lineRule="auto"/>
        <w:jc w:val="center"/>
        <w:rPr>
          <w:rFonts w:hint="eastAsia" w:ascii="宋体" w:hAnsi="宋体" w:eastAsia="宋体" w:cs="Times New Roman"/>
          <w:b/>
          <w:sz w:val="24"/>
          <w:szCs w:val="24"/>
        </w:rPr>
      </w:pPr>
    </w:p>
    <w:p w14:paraId="1C42D815">
      <w:pPr>
        <w:tabs>
          <w:tab w:val="left" w:pos="480"/>
        </w:tabs>
        <w:spacing w:line="360" w:lineRule="exact"/>
        <w:rPr>
          <w:rFonts w:hint="eastAsia" w:ascii="宋体" w:hAnsi="宋体" w:eastAsia="宋体" w:cs="仿宋_GB2312"/>
          <w:sz w:val="24"/>
          <w:szCs w:val="32"/>
        </w:rPr>
      </w:pPr>
      <w:r>
        <w:rPr>
          <w:rFonts w:ascii="宋体" w:hAnsi="宋体" w:eastAsia="宋体" w:cs="Times New Roman"/>
          <w:b/>
          <w:sz w:val="24"/>
          <w:szCs w:val="24"/>
        </w:rPr>
        <w:br w:type="page"/>
      </w:r>
    </w:p>
    <w:p w14:paraId="6EDA6D57">
      <w:pPr>
        <w:widowControl/>
        <w:overflowPunct w:val="0"/>
        <w:autoSpaceDE w:val="0"/>
        <w:autoSpaceDN w:val="0"/>
        <w:adjustRightInd w:val="0"/>
        <w:jc w:val="left"/>
        <w:textAlignment w:val="baseline"/>
        <w:rPr>
          <w:rFonts w:ascii="宋体" w:hAnsi="Courier New" w:eastAsia="宋体" w:cs="Times New Roman"/>
          <w:kern w:val="0"/>
          <w:szCs w:val="20"/>
        </w:rPr>
      </w:pPr>
    </w:p>
    <w:p w14:paraId="0FE6484C">
      <w:pPr>
        <w:rPr>
          <w:rFonts w:hint="eastAsia"/>
        </w:rPr>
      </w:pPr>
    </w:p>
    <w:p w14:paraId="21C3A3F3">
      <w:pPr>
        <w:adjustRightInd w:val="0"/>
        <w:snapToGrid w:val="0"/>
        <w:spacing w:line="360" w:lineRule="auto"/>
        <w:jc w:val="center"/>
        <w:outlineLvl w:val="0"/>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技术服务合同</w:t>
      </w:r>
    </w:p>
    <w:p w14:paraId="35E1B5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甲方：西安市精神卫生中心</w:t>
      </w:r>
    </w:p>
    <w:p w14:paraId="578EC67B">
      <w:pPr>
        <w:tabs>
          <w:tab w:val="left" w:pos="480"/>
        </w:tabs>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乙方：</w:t>
      </w:r>
    </w:p>
    <w:p w14:paraId="220724B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政府采购法》、《中华人民共和国招标投标法》、《中华人民共和国民法典》以及该项目的招标文件、成交供应商应标文件正本和澄清表（函）、中标通知书，经甲、乙双方协商，达成如下条款。</w:t>
      </w:r>
    </w:p>
    <w:p w14:paraId="3027F6D0">
      <w:pPr>
        <w:numPr>
          <w:ilvl w:val="0"/>
          <w:numId w:val="1"/>
        </w:numPr>
        <w:tabs>
          <w:tab w:val="left" w:pos="480"/>
        </w:tabs>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合同标的物内容及数量</w:t>
      </w:r>
      <w:r>
        <w:rPr>
          <w:rFonts w:hint="eastAsia" w:ascii="宋体" w:hAnsi="宋体" w:eastAsia="宋体" w:cs="宋体"/>
          <w:sz w:val="24"/>
          <w:szCs w:val="24"/>
        </w:rPr>
        <w:t>（以磋商响应文件正本和澄清表〈函〉为准）</w:t>
      </w:r>
    </w:p>
    <w:p w14:paraId="25677B9B">
      <w:pPr>
        <w:numPr>
          <w:ilvl w:val="-1"/>
          <w:numId w:val="0"/>
        </w:numPr>
        <w:tabs>
          <w:tab w:val="left" w:pos="480"/>
        </w:tabs>
        <w:spacing w:line="360" w:lineRule="auto"/>
        <w:ind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院内辅助业务系统包括电子时钟系统及NTP服务器、供应室CSSD追溯管理系统、实验室实操管理平台、中国知网CNKI机构年卡、两定医保、廉政风险防控系统、CA电子认证、报告厅、排队叫号系统9个子系统，承担着院内各业务系统的数据采集、分析、存储与共享支撑职能，是重要的辅助支撑平台，为保障院内各业务配套辅助系统持续、稳定、安全、高效运行需求，需采购相关技术服务。</w:t>
      </w:r>
    </w:p>
    <w:tbl>
      <w:tblPr>
        <w:tblStyle w:val="4"/>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260"/>
        <w:gridCol w:w="2268"/>
        <w:gridCol w:w="1134"/>
        <w:gridCol w:w="891"/>
        <w:gridCol w:w="1334"/>
      </w:tblGrid>
      <w:tr w14:paraId="45A5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Borders>
              <w:top w:val="single" w:color="auto" w:sz="4" w:space="0"/>
              <w:left w:val="single" w:color="auto" w:sz="4" w:space="0"/>
              <w:bottom w:val="single" w:color="auto" w:sz="4" w:space="0"/>
              <w:right w:val="single" w:color="auto" w:sz="4" w:space="0"/>
            </w:tcBorders>
            <w:noWrap w:val="0"/>
            <w:vAlign w:val="center"/>
          </w:tcPr>
          <w:p w14:paraId="38C38FDD">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2260" w:type="dxa"/>
            <w:tcBorders>
              <w:top w:val="single" w:color="auto" w:sz="4" w:space="0"/>
              <w:left w:val="single" w:color="auto" w:sz="4" w:space="0"/>
              <w:bottom w:val="single" w:color="auto" w:sz="4" w:space="0"/>
              <w:right w:val="single" w:color="auto" w:sz="4" w:space="0"/>
            </w:tcBorders>
            <w:noWrap w:val="0"/>
            <w:vAlign w:val="center"/>
          </w:tcPr>
          <w:p w14:paraId="04B9C3CE">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283EBAD">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规格型号</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534C2F5">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数量</w:t>
            </w:r>
          </w:p>
        </w:tc>
        <w:tc>
          <w:tcPr>
            <w:tcW w:w="891" w:type="dxa"/>
            <w:tcBorders>
              <w:top w:val="single" w:color="auto" w:sz="4" w:space="0"/>
              <w:left w:val="single" w:color="auto" w:sz="4" w:space="0"/>
              <w:bottom w:val="single" w:color="auto" w:sz="4" w:space="0"/>
              <w:right w:val="single" w:color="auto" w:sz="4" w:space="0"/>
            </w:tcBorders>
            <w:noWrap w:val="0"/>
            <w:vAlign w:val="center"/>
          </w:tcPr>
          <w:p w14:paraId="3D4AA586">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产地</w:t>
            </w:r>
          </w:p>
        </w:tc>
        <w:tc>
          <w:tcPr>
            <w:tcW w:w="1334" w:type="dxa"/>
            <w:tcBorders>
              <w:top w:val="single" w:color="auto" w:sz="4" w:space="0"/>
              <w:left w:val="single" w:color="auto" w:sz="4" w:space="0"/>
              <w:bottom w:val="single" w:color="auto" w:sz="4" w:space="0"/>
              <w:right w:val="single" w:color="auto" w:sz="4" w:space="0"/>
            </w:tcBorders>
            <w:noWrap w:val="0"/>
            <w:vAlign w:val="top"/>
          </w:tcPr>
          <w:p w14:paraId="71D17CF6">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价格</w:t>
            </w:r>
          </w:p>
        </w:tc>
      </w:tr>
      <w:tr w14:paraId="605DE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732" w:type="dxa"/>
            <w:tcBorders>
              <w:top w:val="single" w:color="auto" w:sz="4" w:space="0"/>
              <w:left w:val="single" w:color="auto" w:sz="4" w:space="0"/>
              <w:bottom w:val="single" w:color="auto" w:sz="4" w:space="0"/>
              <w:right w:val="single" w:color="auto" w:sz="4" w:space="0"/>
            </w:tcBorders>
            <w:noWrap w:val="0"/>
            <w:vAlign w:val="center"/>
          </w:tcPr>
          <w:p w14:paraId="1B9EFA63">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2260" w:type="dxa"/>
            <w:tcBorders>
              <w:top w:val="single" w:color="auto" w:sz="4" w:space="0"/>
              <w:left w:val="single" w:color="auto" w:sz="4" w:space="0"/>
              <w:bottom w:val="single" w:color="auto" w:sz="4" w:space="0"/>
              <w:right w:val="single" w:color="auto" w:sz="4" w:space="0"/>
            </w:tcBorders>
            <w:noWrap w:val="0"/>
            <w:vAlign w:val="center"/>
          </w:tcPr>
          <w:p w14:paraId="4A413B11">
            <w:pPr>
              <w:spacing w:line="360" w:lineRule="auto"/>
              <w:jc w:val="center"/>
              <w:rPr>
                <w:rFonts w:hint="eastAsia" w:ascii="宋体" w:hAnsi="宋体" w:eastAsia="宋体" w:cs="宋体"/>
                <w:sz w:val="24"/>
                <w:szCs w:val="24"/>
              </w:rPr>
            </w:pP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2CEE7B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1CBFD7C">
            <w:pPr>
              <w:spacing w:line="360" w:lineRule="auto"/>
              <w:jc w:val="center"/>
              <w:rPr>
                <w:rFonts w:hint="eastAsia" w:ascii="宋体" w:hAnsi="宋体" w:eastAsia="宋体" w:cs="宋体"/>
                <w:sz w:val="24"/>
                <w:szCs w:val="24"/>
                <w:lang w:val="en-US" w:eastAsia="zh-CN"/>
              </w:rPr>
            </w:pPr>
          </w:p>
        </w:tc>
        <w:tc>
          <w:tcPr>
            <w:tcW w:w="891" w:type="dxa"/>
            <w:tcBorders>
              <w:top w:val="single" w:color="auto" w:sz="4" w:space="0"/>
              <w:left w:val="single" w:color="auto" w:sz="4" w:space="0"/>
              <w:bottom w:val="single" w:color="auto" w:sz="4" w:space="0"/>
              <w:right w:val="single" w:color="auto" w:sz="4" w:space="0"/>
            </w:tcBorders>
            <w:noWrap w:val="0"/>
            <w:vAlign w:val="center"/>
          </w:tcPr>
          <w:p w14:paraId="3802749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1334" w:type="dxa"/>
            <w:tcBorders>
              <w:top w:val="single" w:color="auto" w:sz="4" w:space="0"/>
              <w:left w:val="single" w:color="auto" w:sz="4" w:space="0"/>
              <w:bottom w:val="single" w:color="auto" w:sz="4" w:space="0"/>
              <w:right w:val="single" w:color="auto" w:sz="4" w:space="0"/>
            </w:tcBorders>
            <w:noWrap w:val="0"/>
            <w:vAlign w:val="top"/>
          </w:tcPr>
          <w:p w14:paraId="58D284E0">
            <w:pPr>
              <w:tabs>
                <w:tab w:val="left" w:pos="480"/>
              </w:tabs>
              <w:spacing w:line="360" w:lineRule="auto"/>
              <w:jc w:val="center"/>
              <w:rPr>
                <w:rFonts w:hint="eastAsia" w:ascii="宋体" w:hAnsi="宋体" w:eastAsia="宋体" w:cs="宋体"/>
                <w:sz w:val="24"/>
                <w:szCs w:val="24"/>
                <w:lang w:val="en-US" w:eastAsia="zh-CN"/>
              </w:rPr>
            </w:pPr>
          </w:p>
        </w:tc>
      </w:tr>
      <w:tr w14:paraId="0E0F1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tcBorders>
              <w:top w:val="single" w:color="auto" w:sz="4" w:space="0"/>
              <w:left w:val="single" w:color="auto" w:sz="4" w:space="0"/>
              <w:bottom w:val="single" w:color="auto" w:sz="4" w:space="0"/>
              <w:right w:val="single" w:color="auto" w:sz="4" w:space="0"/>
            </w:tcBorders>
            <w:noWrap w:val="0"/>
            <w:vAlign w:val="center"/>
          </w:tcPr>
          <w:p w14:paraId="543A8E2F">
            <w:pPr>
              <w:tabs>
                <w:tab w:val="left" w:pos="480"/>
              </w:tabs>
              <w:spacing w:line="360" w:lineRule="auto"/>
              <w:jc w:val="center"/>
              <w:rPr>
                <w:rFonts w:hint="eastAsia" w:ascii="宋体" w:hAnsi="宋体" w:eastAsia="宋体" w:cs="宋体"/>
                <w:sz w:val="24"/>
                <w:szCs w:val="24"/>
              </w:rPr>
            </w:pPr>
            <w:r>
              <w:rPr>
                <w:rFonts w:hint="eastAsia" w:ascii="宋体" w:hAnsi="宋体" w:eastAsia="宋体" w:cs="宋体"/>
                <w:sz w:val="24"/>
                <w:szCs w:val="24"/>
              </w:rPr>
              <w:t>说明</w:t>
            </w:r>
          </w:p>
        </w:tc>
        <w:tc>
          <w:tcPr>
            <w:tcW w:w="7887" w:type="dxa"/>
            <w:gridSpan w:val="5"/>
            <w:tcBorders>
              <w:top w:val="single" w:color="auto" w:sz="4" w:space="0"/>
              <w:left w:val="single" w:color="auto" w:sz="4" w:space="0"/>
              <w:bottom w:val="single" w:color="auto" w:sz="4" w:space="0"/>
              <w:right w:val="single" w:color="auto" w:sz="4" w:space="0"/>
            </w:tcBorders>
            <w:noWrap w:val="0"/>
            <w:vAlign w:val="center"/>
          </w:tcPr>
          <w:p w14:paraId="2197060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配套设备、资料按照乙方响应文件承诺执行。</w:t>
            </w:r>
          </w:p>
        </w:tc>
      </w:tr>
    </w:tbl>
    <w:p w14:paraId="156B1CB1">
      <w:pPr>
        <w:tabs>
          <w:tab w:val="left" w:pos="480"/>
        </w:tabs>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二、合同价款</w:t>
      </w:r>
    </w:p>
    <w:p w14:paraId="7F6D7450">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（一）合同总价款为人民币（大写）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p>
    <w:p w14:paraId="6CAE1D74">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（二）合同总价包括：</w:t>
      </w:r>
      <w:r>
        <w:rPr>
          <w:rFonts w:hint="eastAsia" w:ascii="宋体" w:hAnsi="宋体" w:eastAsia="宋体" w:cs="宋体"/>
          <w:sz w:val="24"/>
          <w:szCs w:val="24"/>
          <w:lang w:val="en-US" w:eastAsia="zh-CN"/>
        </w:rPr>
        <w:t>维保服务费、</w:t>
      </w:r>
      <w:r>
        <w:rPr>
          <w:rFonts w:hint="eastAsia" w:ascii="宋体" w:hAnsi="宋体" w:eastAsia="宋体" w:cs="宋体"/>
          <w:color w:val="auto"/>
          <w:sz w:val="24"/>
          <w:szCs w:val="24"/>
        </w:rPr>
        <w:t>系统使用费、安装调试费、</w:t>
      </w:r>
      <w:r>
        <w:rPr>
          <w:rFonts w:hint="eastAsia" w:ascii="宋体" w:hAnsi="宋体" w:eastAsia="宋体" w:cs="宋体"/>
          <w:sz w:val="24"/>
          <w:szCs w:val="24"/>
        </w:rPr>
        <w:t>检测验收费及其它乙方履行合同义务所需的全部费用。</w:t>
      </w:r>
    </w:p>
    <w:p w14:paraId="452F8435">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（三）合同总价一次性包死，不受市场价格变化因素的影响。</w:t>
      </w:r>
    </w:p>
    <w:p w14:paraId="693CC808">
      <w:pPr>
        <w:tabs>
          <w:tab w:val="left" w:pos="480"/>
        </w:tabs>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三、款项结算</w:t>
      </w:r>
    </w:p>
    <w:p w14:paraId="63128EB1">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明是分批支付，还是一次性付清。服务期短的项目原则上一次付清，服务期长的项目可按月、季、半年分批支付，对单项任务提供服务的，可以按任务完成进度安排。如分批支付，列明各个批次的界限和付款比例。</w:t>
      </w:r>
    </w:p>
    <w:p w14:paraId="0BD01612">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本合同签署后</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个工作日内，甲方向乙方</w:t>
      </w:r>
      <w:r>
        <w:rPr>
          <w:rFonts w:hint="eastAsia" w:ascii="宋体" w:hAnsi="宋体" w:eastAsia="宋体" w:cs="宋体"/>
          <w:color w:val="auto"/>
          <w:sz w:val="24"/>
          <w:szCs w:val="24"/>
          <w:highlight w:val="none"/>
          <w:lang w:val="en-US" w:eastAsia="zh-CN"/>
        </w:rPr>
        <w:t>一次性</w:t>
      </w:r>
      <w:r>
        <w:rPr>
          <w:rFonts w:hint="eastAsia" w:ascii="宋体" w:hAnsi="宋体" w:eastAsia="宋体" w:cs="宋体"/>
          <w:color w:val="auto"/>
          <w:sz w:val="24"/>
          <w:szCs w:val="24"/>
          <w:highlight w:val="none"/>
        </w:rPr>
        <w:t>支付合同</w:t>
      </w:r>
      <w:r>
        <w:rPr>
          <w:rFonts w:hint="eastAsia" w:ascii="宋体" w:hAnsi="宋体" w:eastAsia="宋体" w:cs="宋体"/>
          <w:color w:val="auto"/>
          <w:sz w:val="24"/>
          <w:szCs w:val="24"/>
          <w:highlight w:val="none"/>
          <w:lang w:val="en-US" w:eastAsia="zh-CN"/>
        </w:rPr>
        <w:t>全款</w:t>
      </w:r>
      <w:r>
        <w:rPr>
          <w:rFonts w:hint="eastAsia" w:ascii="宋体" w:hAnsi="宋体" w:eastAsia="宋体" w:cs="宋体"/>
          <w:color w:val="auto"/>
          <w:sz w:val="24"/>
          <w:szCs w:val="24"/>
          <w:highlight w:val="none"/>
        </w:rPr>
        <w:t>。</w:t>
      </w:r>
    </w:p>
    <w:p w14:paraId="67713B4E">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（二）支付方式：银行转账。</w:t>
      </w:r>
      <w:r>
        <w:rPr>
          <w:rFonts w:hint="eastAsia" w:ascii="宋体" w:hAnsi="宋体" w:eastAsia="宋体" w:cs="宋体"/>
          <w:color w:val="auto"/>
          <w:sz w:val="24"/>
          <w:szCs w:val="24"/>
          <w:highlight w:val="none"/>
          <w:lang w:val="en-US" w:eastAsia="zh-CN"/>
        </w:rPr>
        <w:t>乙方账户信息如下：</w:t>
      </w:r>
    </w:p>
    <w:p w14:paraId="0C4E411B">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乙方账户名： </w:t>
      </w:r>
    </w:p>
    <w:p w14:paraId="398EC644">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      号： </w:t>
      </w:r>
    </w:p>
    <w:p w14:paraId="40F8963D">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p w14:paraId="3D11DF75">
      <w:pPr>
        <w:pStyle w:val="7"/>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（三）结算方式：乙方持发票（按合同总价值开具），中标通知书、本合同、发票复印件、项目验收单，与甲方办理资金结算手续。乙方未按照约定提供发票时，甲方有权拒付费用且不承担任何责任。</w:t>
      </w:r>
    </w:p>
    <w:p w14:paraId="227D0CBE">
      <w:pPr>
        <w:tabs>
          <w:tab w:val="left" w:pos="480"/>
        </w:tabs>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四、双方的权利和义务</w:t>
      </w:r>
    </w:p>
    <w:p w14:paraId="3A41D366">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（一）甲方的权利和义务</w:t>
      </w:r>
    </w:p>
    <w:p w14:paraId="2F867DBD">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rPr>
        <w:t>甲方有权在</w:t>
      </w:r>
      <w:r>
        <w:rPr>
          <w:rFonts w:hint="eastAsia" w:ascii="宋体" w:hAnsi="宋体" w:eastAsia="宋体" w:cs="宋体"/>
          <w:sz w:val="24"/>
          <w:szCs w:val="24"/>
          <w:lang w:val="en-US" w:eastAsia="zh-CN"/>
        </w:rPr>
        <w:t>维保</w:t>
      </w:r>
      <w:r>
        <w:rPr>
          <w:rFonts w:hint="eastAsia" w:ascii="宋体" w:hAnsi="宋体" w:eastAsia="宋体" w:cs="宋体"/>
          <w:sz w:val="24"/>
          <w:szCs w:val="24"/>
        </w:rPr>
        <w:t>有效期内依据</w:t>
      </w:r>
      <w:r>
        <w:rPr>
          <w:rFonts w:hint="eastAsia" w:ascii="宋体" w:hAnsi="宋体" w:eastAsia="宋体" w:cs="宋体"/>
          <w:sz w:val="24"/>
          <w:szCs w:val="24"/>
          <w:lang w:val="en-US" w:eastAsia="zh-CN"/>
        </w:rPr>
        <w:t>本合同</w:t>
      </w:r>
      <w:r>
        <w:rPr>
          <w:rFonts w:hint="eastAsia" w:ascii="宋体" w:hAnsi="宋体" w:eastAsia="宋体" w:cs="宋体"/>
          <w:sz w:val="24"/>
          <w:szCs w:val="24"/>
        </w:rPr>
        <w:t>对</w:t>
      </w:r>
      <w:r>
        <w:rPr>
          <w:rFonts w:hint="eastAsia" w:ascii="宋体" w:hAnsi="宋体" w:eastAsia="宋体" w:cs="宋体"/>
          <w:sz w:val="24"/>
          <w:szCs w:val="24"/>
          <w:lang w:val="en-US" w:eastAsia="zh-CN"/>
        </w:rPr>
        <w:t>服务内容</w:t>
      </w:r>
      <w:r>
        <w:rPr>
          <w:rFonts w:hint="eastAsia" w:ascii="宋体" w:hAnsi="宋体" w:eastAsia="宋体" w:cs="宋体"/>
          <w:sz w:val="24"/>
          <w:szCs w:val="24"/>
        </w:rPr>
        <w:t>进行验收，</w:t>
      </w:r>
      <w:r>
        <w:rPr>
          <w:rFonts w:hint="eastAsia" w:ascii="宋体" w:hAnsi="宋体" w:eastAsia="宋体" w:cs="宋体"/>
          <w:sz w:val="24"/>
          <w:szCs w:val="24"/>
          <w:lang w:val="en-US" w:eastAsia="zh-CN"/>
        </w:rPr>
        <w:t>如有不满足维保要求的情况，甲方有权要求乙方进行调整，乙方应在10</w:t>
      </w:r>
      <w:r>
        <w:rPr>
          <w:rFonts w:hint="eastAsia" w:eastAsia="宋体"/>
          <w:lang w:val="en-US" w:eastAsia="zh-CN"/>
        </w:rPr>
        <w:t>个工作日内</w:t>
      </w:r>
      <w:r>
        <w:rPr>
          <w:rFonts w:hint="eastAsia" w:ascii="宋体" w:hAnsi="宋体" w:eastAsia="宋体" w:cs="宋体"/>
          <w:sz w:val="24"/>
          <w:szCs w:val="24"/>
          <w:lang w:val="en-US" w:eastAsia="zh-CN"/>
        </w:rPr>
        <w:t>完成调整。</w:t>
      </w:r>
    </w:p>
    <w:p w14:paraId="28DD92CE">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负责提供系统所需的电路接入、机房环境、通信线路、系统安全设施等运行所依赖的环境。甲方应配合乙方维护人员进行日常性系统管理和数据维护，与乙方技术人员一起完成维护工作，以保持系统运行在最佳状态。</w:t>
      </w:r>
    </w:p>
    <w:p w14:paraId="52A31AE3">
      <w:pPr>
        <w:numPr>
          <w:ilvl w:val="0"/>
          <w:numId w:val="2"/>
        </w:numPr>
        <w:spacing w:line="360" w:lineRule="auto"/>
        <w:ind w:left="425" w:leftChars="0" w:hanging="425" w:firstLineChars="0"/>
        <w:rPr>
          <w:rFonts w:hint="eastAsia" w:ascii="宋体" w:hAnsi="宋体" w:eastAsia="宋体" w:cs="宋体"/>
          <w:sz w:val="24"/>
          <w:szCs w:val="24"/>
        </w:rPr>
      </w:pPr>
      <w:r>
        <w:rPr>
          <w:rFonts w:hint="eastAsia" w:ascii="宋体" w:hAnsi="宋体" w:eastAsia="宋体" w:cs="宋体"/>
          <w:sz w:val="24"/>
          <w:szCs w:val="24"/>
          <w:lang w:val="en-US" w:eastAsia="zh-CN"/>
        </w:rPr>
        <w:t>甲方需指定一名工作人员作为代表与乙方配合，定期与乙方对本项目的进度进行沟通。如更换人员需提前3日通知乙方，以避免由于人员更迭造成的项目延期损失</w:t>
      </w:r>
      <w:r>
        <w:rPr>
          <w:rFonts w:hint="eastAsia" w:ascii="宋体" w:hAnsi="宋体" w:eastAsia="宋体" w:cs="宋体"/>
          <w:sz w:val="24"/>
          <w:szCs w:val="24"/>
        </w:rPr>
        <w:t>。</w:t>
      </w:r>
    </w:p>
    <w:p w14:paraId="673B70C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（二）乙方的权利和义务</w:t>
      </w:r>
    </w:p>
    <w:p w14:paraId="6518874D">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服务期内，乙方在接到甲方故障报修后提供30分钟内响应，一般问题2小时解决，排除故障的期限不得超过24小时。如需现场服务，在接到甲方通知后，乙方安排运维工程师在4小时内到达现场并立即开始维护工作，排除故障的期限不得超过24小时。</w:t>
      </w:r>
    </w:p>
    <w:p w14:paraId="347CA3DA">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乙方提供给甲方的产品相关知识产权均应符合我国的有关法律及行业标准，凡因以上问题与第三方发生的任何纠纷均与甲方无关，由乙方负责协调处理并承担全部赔偿责任。甲方因此遭索赔的，有权向乙方追偿。</w:t>
      </w:r>
    </w:p>
    <w:p w14:paraId="080BE449">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乙方有义务在服务期内按本合同的约定及甲方要求提供相关的技术服务与支持，对甲方需要的系统运营、维护、使用推广等方面事宜提供有关咨询解答服务。</w:t>
      </w:r>
    </w:p>
    <w:p w14:paraId="65945628">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及其工作人员应遵守和严格执行甲方规章制度和安保规定，不应因乙方工作人员责任出现失窃或其他安全事故。甲方支付的服务费中已包含安全措施费等相关费用，乙方工作人员给甲方或任何第三方造成人身或财产损失的，甲方有权要求乙方赔偿，甲方因此遭遇索赔的，有权向乙方追偿。</w:t>
      </w:r>
    </w:p>
    <w:p w14:paraId="2474D09C">
      <w:pPr>
        <w:numPr>
          <w:ilvl w:val="0"/>
          <w:numId w:val="2"/>
        </w:numPr>
        <w:spacing w:line="360" w:lineRule="auto"/>
        <w:ind w:left="425" w:leftChars="0" w:hanging="425"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乙方在服务过程中造成甲方设备或内部系统损毁的，应当赔偿甲方由此而造成的损失。</w:t>
      </w:r>
    </w:p>
    <w:p w14:paraId="72FF4A45">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五、</w:t>
      </w:r>
      <w:r>
        <w:rPr>
          <w:rFonts w:hint="eastAsia" w:ascii="宋体" w:hAnsi="宋体" w:eastAsia="宋体" w:cs="宋体"/>
          <w:b/>
          <w:sz w:val="24"/>
          <w:szCs w:val="24"/>
          <w:lang w:val="en-US" w:eastAsia="zh-CN"/>
        </w:rPr>
        <w:t>服务</w:t>
      </w:r>
      <w:r>
        <w:rPr>
          <w:rFonts w:hint="eastAsia" w:ascii="宋体" w:hAnsi="宋体" w:eastAsia="宋体" w:cs="宋体"/>
          <w:b/>
          <w:sz w:val="24"/>
          <w:szCs w:val="24"/>
        </w:rPr>
        <w:t>条件：</w:t>
      </w:r>
    </w:p>
    <w:p w14:paraId="52332AC9">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服务</w:t>
      </w:r>
      <w:r>
        <w:rPr>
          <w:rFonts w:hint="eastAsia" w:ascii="宋体" w:hAnsi="宋体" w:eastAsia="宋体" w:cs="宋体"/>
          <w:sz w:val="24"/>
          <w:szCs w:val="24"/>
        </w:rPr>
        <w:t>地点：甲方指定地点。</w:t>
      </w:r>
    </w:p>
    <w:p w14:paraId="1E08DD46">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val="en-US" w:eastAsia="zh-CN"/>
        </w:rPr>
        <w:t>服务</w:t>
      </w:r>
      <w:r>
        <w:rPr>
          <w:rFonts w:hint="eastAsia" w:ascii="宋体" w:hAnsi="宋体" w:eastAsia="宋体" w:cs="宋体"/>
          <w:sz w:val="24"/>
          <w:szCs w:val="24"/>
          <w:highlight w:val="none"/>
        </w:rPr>
        <w:t>期：</w:t>
      </w:r>
      <w:r>
        <w:rPr>
          <w:rFonts w:hint="eastAsia" w:ascii="宋体" w:hAnsi="宋体" w:eastAsia="宋体" w:cs="宋体"/>
          <w:sz w:val="24"/>
          <w:szCs w:val="24"/>
          <w:highlight w:val="none"/>
          <w:lang w:val="en-US" w:eastAsia="zh-CN"/>
        </w:rPr>
        <w:t>自合同签订之日起1年</w:t>
      </w:r>
      <w:r>
        <w:rPr>
          <w:rFonts w:hint="eastAsia" w:ascii="宋体" w:hAnsi="宋体" w:eastAsia="宋体" w:cs="宋体"/>
          <w:sz w:val="24"/>
          <w:szCs w:val="24"/>
          <w:highlight w:val="none"/>
        </w:rPr>
        <w:t>。</w:t>
      </w:r>
    </w:p>
    <w:p w14:paraId="09067371">
      <w:pPr>
        <w:spacing w:line="360" w:lineRule="auto"/>
        <w:ind w:firstLine="482" w:firstLineChars="20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六、保密条款</w:t>
      </w:r>
    </w:p>
    <w:p w14:paraId="0586DCDB">
      <w:pPr>
        <w:spacing w:line="360" w:lineRule="auto"/>
        <w:ind w:firstLine="480"/>
        <w:rPr>
          <w:rFonts w:hint="eastAsia" w:ascii="宋体" w:hAnsi="宋体" w:eastAsia="宋体" w:cs="宋体"/>
          <w:b/>
          <w:sz w:val="24"/>
          <w:szCs w:val="24"/>
        </w:rPr>
      </w:pPr>
      <w:r>
        <w:rPr>
          <w:rFonts w:hint="eastAsia" w:ascii="宋体" w:hAnsi="宋体" w:eastAsia="宋体" w:cs="宋体"/>
          <w:sz w:val="24"/>
          <w:szCs w:val="24"/>
          <w:highlight w:val="none"/>
          <w:lang w:val="en-US" w:eastAsia="zh-CN"/>
        </w:rPr>
        <w:t>双方对于在履行本合同过程中所获悉的对方的商业秘密和信息承担保密责任，并不得以任何形式向第三方透露或使用，否则应当向对方赔偿因其违约行为产生的相关经济损失，并向对方支付合同总额【10】％的违约金。违约金不足以弥补甲方损失的，由乙方另行向甲方支付。甲方的商业秘密和信息包括但不限于与本项目相关的信息与数据等。该条款不因合同的终止而失效。</w:t>
      </w:r>
    </w:p>
    <w:p w14:paraId="6C449F7B">
      <w:pPr>
        <w:tabs>
          <w:tab w:val="left" w:pos="48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违约责任</w:t>
      </w:r>
    </w:p>
    <w:p w14:paraId="33E5207A">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（一）按《政府采购法》、《中华人民共和国民法典》中的相关条款执行。</w:t>
      </w:r>
    </w:p>
    <w:p w14:paraId="3935B708">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（二）未按合同要求提供</w:t>
      </w:r>
      <w:r>
        <w:rPr>
          <w:rFonts w:hint="eastAsia" w:ascii="宋体" w:hAnsi="宋体" w:eastAsia="宋体" w:cs="宋体"/>
          <w:sz w:val="24"/>
          <w:szCs w:val="24"/>
          <w:lang w:val="en-US" w:eastAsia="zh-CN"/>
        </w:rPr>
        <w:t>服务</w:t>
      </w:r>
      <w:r>
        <w:rPr>
          <w:rFonts w:hint="eastAsia" w:ascii="宋体" w:hAnsi="宋体" w:eastAsia="宋体" w:cs="宋体"/>
          <w:sz w:val="24"/>
          <w:szCs w:val="24"/>
        </w:rPr>
        <w:t>或</w:t>
      </w:r>
      <w:r>
        <w:rPr>
          <w:rFonts w:hint="eastAsia" w:ascii="宋体" w:hAnsi="宋体" w:eastAsia="宋体" w:cs="宋体"/>
          <w:sz w:val="24"/>
          <w:szCs w:val="24"/>
          <w:lang w:val="en-US" w:eastAsia="zh-CN"/>
        </w:rPr>
        <w:t>服务内容、</w:t>
      </w:r>
      <w:r>
        <w:rPr>
          <w:rFonts w:hint="eastAsia" w:ascii="宋体" w:hAnsi="宋体" w:eastAsia="宋体" w:cs="宋体"/>
          <w:sz w:val="24"/>
          <w:szCs w:val="24"/>
        </w:rPr>
        <w:t>质量不能满足磋商文件技术要求，乙方必须在【3】日内无条件免费更换或整改，提高技术，完善质量，同时需向甲方支付【1】%的违约金；乙方拒不整改调整或整改调整【1】次后仍无法达到磋商文件要求的，</w:t>
      </w:r>
      <w:r>
        <w:rPr>
          <w:rFonts w:hint="eastAsia" w:ascii="宋体" w:hAnsi="宋体" w:eastAsia="宋体" w:cs="宋体"/>
          <w:sz w:val="24"/>
          <w:szCs w:val="24"/>
          <w:lang w:val="en-US" w:eastAsia="zh-CN"/>
        </w:rPr>
        <w:t>视为乙方根本违约，</w:t>
      </w:r>
      <w:r>
        <w:rPr>
          <w:rFonts w:hint="eastAsia" w:ascii="宋体" w:hAnsi="宋体" w:eastAsia="宋体" w:cs="宋体"/>
          <w:sz w:val="24"/>
          <w:szCs w:val="24"/>
        </w:rPr>
        <w:t>甲方有权</w:t>
      </w:r>
      <w:r>
        <w:rPr>
          <w:rFonts w:hint="eastAsia" w:ascii="宋体" w:hAnsi="宋体" w:eastAsia="宋体" w:cs="宋体"/>
          <w:sz w:val="24"/>
          <w:szCs w:val="24"/>
          <w:lang w:val="en-US" w:eastAsia="zh-CN"/>
        </w:rPr>
        <w:t>单方</w:t>
      </w:r>
      <w:r>
        <w:rPr>
          <w:rFonts w:hint="eastAsia" w:ascii="宋体" w:hAnsi="宋体" w:eastAsia="宋体" w:cs="宋体"/>
          <w:sz w:val="24"/>
          <w:szCs w:val="24"/>
        </w:rPr>
        <w:t>解除合同，合同自书面解除通知送达乙方之日起解除，乙方应当按照合同总价的【</w:t>
      </w:r>
      <w:r>
        <w:rPr>
          <w:rFonts w:hint="eastAsia" w:ascii="宋体" w:hAnsi="宋体" w:eastAsia="宋体" w:cs="宋体"/>
          <w:sz w:val="24"/>
          <w:szCs w:val="24"/>
          <w:lang w:val="en-US" w:eastAsia="zh-CN"/>
        </w:rPr>
        <w:t>30</w:t>
      </w:r>
      <w:r>
        <w:rPr>
          <w:rFonts w:hint="eastAsia" w:ascii="宋体" w:hAnsi="宋体" w:eastAsia="宋体" w:cs="宋体"/>
          <w:sz w:val="24"/>
          <w:szCs w:val="24"/>
        </w:rPr>
        <w:t>】%向甲方支付违约金，违约金不足以弥补甲方损失的，乙方需另行支付。同时，甲方有权对乙方的违约行为报监管机构进行相应的处罚。</w:t>
      </w:r>
    </w:p>
    <w:p w14:paraId="019F4F7D">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（三）乙方未按照合同约定期限履行义务</w:t>
      </w:r>
      <w:r>
        <w:rPr>
          <w:rFonts w:hint="eastAsia" w:ascii="宋体" w:hAnsi="宋体" w:eastAsia="宋体" w:cs="宋体"/>
          <w:sz w:val="24"/>
          <w:szCs w:val="24"/>
          <w:lang w:val="en-US" w:eastAsia="zh-CN"/>
        </w:rPr>
        <w:t>或未按合同第四条第（一）（二）款约定的时限排除故障</w:t>
      </w:r>
      <w:r>
        <w:rPr>
          <w:rFonts w:hint="eastAsia" w:ascii="宋体" w:hAnsi="宋体" w:eastAsia="宋体" w:cs="宋体"/>
          <w:sz w:val="24"/>
          <w:szCs w:val="24"/>
        </w:rPr>
        <w:t>时，每迟延一天，应当按照合同总价款的</w:t>
      </w:r>
      <w:r>
        <w:rPr>
          <w:rFonts w:hint="eastAsia" w:ascii="宋体" w:hAnsi="宋体" w:eastAsia="宋体" w:cs="宋体"/>
          <w:sz w:val="24"/>
          <w:szCs w:val="24"/>
          <w:u w:val="single"/>
          <w:lang w:val="en-US" w:eastAsia="zh-CN"/>
        </w:rPr>
        <w:t>1</w:t>
      </w:r>
      <w:r>
        <w:rPr>
          <w:rFonts w:hint="eastAsia" w:ascii="宋体" w:hAnsi="宋体" w:eastAsia="宋体" w:cs="宋体"/>
          <w:sz w:val="24"/>
          <w:szCs w:val="24"/>
          <w:u w:val="single"/>
        </w:rPr>
        <w:t xml:space="preserve"> </w:t>
      </w:r>
      <w:r>
        <w:rPr>
          <w:rFonts w:hint="eastAsia" w:ascii="宋体" w:hAnsi="宋体" w:eastAsia="宋体" w:cs="宋体"/>
          <w:sz w:val="24"/>
          <w:szCs w:val="24"/>
        </w:rPr>
        <w:t>‰向甲方支付违约金；累计迟延【7】天时，视为乙方根本违约，甲方有权单方解除合同，合同自甲方书面解除通知送达乙方之日起解除，乙方应当按照合同总价的【</w:t>
      </w:r>
      <w:r>
        <w:rPr>
          <w:rFonts w:hint="eastAsia" w:ascii="宋体" w:hAnsi="宋体" w:eastAsia="宋体" w:cs="宋体"/>
          <w:sz w:val="24"/>
          <w:szCs w:val="24"/>
          <w:lang w:val="en-US" w:eastAsia="zh-CN"/>
        </w:rPr>
        <w:t>30</w:t>
      </w:r>
      <w:r>
        <w:rPr>
          <w:rFonts w:hint="eastAsia" w:ascii="宋体" w:hAnsi="宋体" w:eastAsia="宋体" w:cs="宋体"/>
          <w:sz w:val="24"/>
          <w:szCs w:val="24"/>
        </w:rPr>
        <w:t>】%向甲方支付违约金，违约金不足以弥补甲方损失的，乙方需另行支付。</w:t>
      </w:r>
    </w:p>
    <w:p w14:paraId="17AEE2D0">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乙方应就履行本合同所获取的甲方一切非公开信息进行保密，不得向第三方泄露，亦不得将上述信息用于其他商业目的，否则，甲方有权单方解除合同，合同自甲方书面解除通知送达乙方之日起解除，乙方应当按照合同总价的【</w:t>
      </w:r>
      <w:r>
        <w:rPr>
          <w:rFonts w:hint="eastAsia" w:ascii="宋体" w:hAnsi="宋体" w:eastAsia="宋体" w:cs="宋体"/>
          <w:sz w:val="24"/>
          <w:szCs w:val="24"/>
          <w:lang w:val="en-US" w:eastAsia="zh-CN"/>
        </w:rPr>
        <w:t>30</w:t>
      </w:r>
      <w:r>
        <w:rPr>
          <w:rFonts w:hint="eastAsia" w:ascii="宋体" w:hAnsi="宋体" w:eastAsia="宋体" w:cs="宋体"/>
          <w:sz w:val="24"/>
          <w:szCs w:val="24"/>
        </w:rPr>
        <w:t>】%向甲方支付违约金，违约金不足以弥补甲方损失的，乙方需另行支付。</w:t>
      </w:r>
    </w:p>
    <w:p w14:paraId="6673A7C4">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（五）乙方应确保本合同项下系统安全、平稳运行，不会对甲方既有系统、数据安全造成影响，否则应当就甲方因此产生的损失承担全部赔偿责任。</w:t>
      </w:r>
    </w:p>
    <w:p w14:paraId="0FAF76B4">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（六）乙方违约时，甲方为主张权利而支出的各项费用由乙方承担。</w:t>
      </w:r>
    </w:p>
    <w:p w14:paraId="2E09446A">
      <w:pPr>
        <w:tabs>
          <w:tab w:val="left" w:pos="48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lang w:val="en-US" w:eastAsia="zh-CN"/>
        </w:rPr>
        <w:t>八</w:t>
      </w:r>
      <w:r>
        <w:rPr>
          <w:rFonts w:hint="eastAsia" w:ascii="宋体" w:hAnsi="宋体" w:eastAsia="宋体" w:cs="宋体"/>
          <w:b/>
          <w:sz w:val="24"/>
          <w:szCs w:val="24"/>
        </w:rPr>
        <w:t>、合同争议解决的方式</w:t>
      </w:r>
    </w:p>
    <w:p w14:paraId="49E5981E">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本合同在履行过程中发生的争议，由甲、乙双方当事人协商解决，协商不成的，任意一方有权向甲方所在地</w:t>
      </w:r>
      <w:r>
        <w:rPr>
          <w:rFonts w:hint="eastAsia" w:ascii="宋体" w:hAnsi="宋体" w:eastAsia="宋体" w:cs="宋体"/>
          <w:sz w:val="24"/>
          <w:szCs w:val="24"/>
          <w:lang w:val="en-US" w:eastAsia="zh-CN"/>
        </w:rPr>
        <w:t>有管辖权的</w:t>
      </w:r>
      <w:r>
        <w:rPr>
          <w:rFonts w:hint="eastAsia" w:ascii="宋体" w:hAnsi="宋体" w:eastAsia="宋体" w:cs="宋体"/>
          <w:sz w:val="24"/>
          <w:szCs w:val="24"/>
        </w:rPr>
        <w:t>人民法院起诉。</w:t>
      </w:r>
    </w:p>
    <w:p w14:paraId="50AA765F">
      <w:pPr>
        <w:tabs>
          <w:tab w:val="left" w:pos="480"/>
        </w:tabs>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lang w:val="en-US" w:eastAsia="zh-CN"/>
        </w:rPr>
        <w:t>九</w:t>
      </w:r>
      <w:r>
        <w:rPr>
          <w:rFonts w:hint="eastAsia" w:ascii="宋体" w:hAnsi="宋体" w:eastAsia="宋体" w:cs="宋体"/>
          <w:b/>
          <w:sz w:val="24"/>
          <w:szCs w:val="24"/>
        </w:rPr>
        <w:t>、合同生效</w:t>
      </w:r>
    </w:p>
    <w:p w14:paraId="27BA8236">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w:t>
      </w:r>
      <w:r>
        <w:rPr>
          <w:rFonts w:hint="eastAsia" w:ascii="宋体" w:hAnsi="宋体" w:eastAsia="宋体" w:cs="宋体"/>
          <w:sz w:val="24"/>
          <w:szCs w:val="24"/>
          <w:u w:val="single"/>
        </w:rPr>
        <w:t xml:space="preserve">  </w:t>
      </w:r>
      <w:r>
        <w:rPr>
          <w:rFonts w:hint="eastAsia" w:ascii="宋体" w:hAnsi="宋体" w:eastAsia="宋体" w:cs="宋体"/>
          <w:sz w:val="24"/>
          <w:szCs w:val="24"/>
        </w:rPr>
        <w:t>份、乙方</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份，具有同等法律效力。本合同自甲、乙双签字盖章后生效，合同执行完毕后，自动终止（合同的服务承诺则长期有效）。</w:t>
      </w:r>
    </w:p>
    <w:p w14:paraId="677B7EE7">
      <w:pPr>
        <w:tabs>
          <w:tab w:val="left" w:pos="480"/>
        </w:tabs>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十、其他事项</w:t>
      </w:r>
    </w:p>
    <w:p w14:paraId="193E54A1">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（一）西安市财政局政府采购管理处在合同的履行期间以及履行期后，可以随时检查项目的执行情况，对采购内容、标准进行调查核实，并对发现的问题进行处理。</w:t>
      </w:r>
    </w:p>
    <w:p w14:paraId="6272AEF6">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（二）招标文件、应标文件、澄清表（函）、中标通知书、合同附件均成为合同不可分割的部分。</w:t>
      </w:r>
    </w:p>
    <w:p w14:paraId="3CD5C919">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（三）合同未尽事宜，由甲、乙双方协商，作为合同补充，与原合同具有同等法律效力。</w:t>
      </w:r>
    </w:p>
    <w:p w14:paraId="67DB58EC">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（四）合同一经签订，不得擅自变更、中止或终止合同。对确需变更、调整或中止、终止合同的，应按规定履行相应的手续。</w:t>
      </w:r>
    </w:p>
    <w:p w14:paraId="29B63E43">
      <w:pPr>
        <w:tabs>
          <w:tab w:val="left" w:pos="48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（五）本合同按照中华人民共和国的现行法律进行解释。</w:t>
      </w:r>
    </w:p>
    <w:p w14:paraId="5D9F6AB3">
      <w:pPr>
        <w:pStyle w:val="2"/>
        <w:rPr>
          <w:rFonts w:hint="eastAsia" w:ascii="宋体" w:hAnsi="宋体" w:eastAsia="宋体" w:cs="宋体"/>
          <w:sz w:val="24"/>
          <w:szCs w:val="24"/>
        </w:rPr>
      </w:pPr>
    </w:p>
    <w:p w14:paraId="09384778">
      <w:pPr>
        <w:pStyle w:val="2"/>
        <w:rPr>
          <w:rFonts w:hint="eastAsia" w:ascii="宋体" w:hAnsi="宋体" w:eastAsia="宋体" w:cs="宋体"/>
          <w:sz w:val="24"/>
          <w:szCs w:val="24"/>
        </w:rPr>
      </w:pPr>
    </w:p>
    <w:p w14:paraId="4042D191">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甲  方：（公章）                    乙  方：（公章） </w:t>
      </w:r>
    </w:p>
    <w:p w14:paraId="172A76D3">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tbl>
      <w:tblPr>
        <w:tblStyle w:val="4"/>
        <w:tblW w:w="9069" w:type="dxa"/>
        <w:tblInd w:w="-317" w:type="dxa"/>
        <w:tblLayout w:type="fixed"/>
        <w:tblCellMar>
          <w:top w:w="0" w:type="dxa"/>
          <w:left w:w="108" w:type="dxa"/>
          <w:bottom w:w="0" w:type="dxa"/>
          <w:right w:w="108" w:type="dxa"/>
        </w:tblCellMar>
      </w:tblPr>
      <w:tblGrid>
        <w:gridCol w:w="4466"/>
        <w:gridCol w:w="4603"/>
      </w:tblGrid>
      <w:tr w14:paraId="6A9DDD11">
        <w:tblPrEx>
          <w:tblCellMar>
            <w:top w:w="0" w:type="dxa"/>
            <w:left w:w="108" w:type="dxa"/>
            <w:bottom w:w="0" w:type="dxa"/>
            <w:right w:w="108" w:type="dxa"/>
          </w:tblCellMar>
        </w:tblPrEx>
        <w:tc>
          <w:tcPr>
            <w:tcW w:w="4466" w:type="dxa"/>
            <w:noWrap w:val="0"/>
            <w:vAlign w:val="top"/>
          </w:tcPr>
          <w:p w14:paraId="245C7339">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单位名称：西安市精神卫生中心</w:t>
            </w:r>
          </w:p>
          <w:p w14:paraId="57D89E5A">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法定代表人或经办人：</w:t>
            </w:r>
          </w:p>
          <w:p w14:paraId="0EFB1DC7">
            <w:pPr>
              <w:tabs>
                <w:tab w:val="left" w:pos="480"/>
              </w:tabs>
              <w:spacing w:line="360" w:lineRule="auto"/>
              <w:rPr>
                <w:rFonts w:hint="eastAsia" w:ascii="宋体" w:hAnsi="宋体" w:eastAsia="宋体" w:cs="宋体"/>
                <w:sz w:val="24"/>
                <w:szCs w:val="24"/>
              </w:rPr>
            </w:pPr>
            <w:r>
              <w:rPr>
                <w:rFonts w:hint="eastAsia" w:ascii="宋体" w:hAnsi="宋体" w:eastAsia="宋体" w:cs="宋体"/>
                <w:sz w:val="24"/>
                <w:szCs w:val="24"/>
              </w:rPr>
              <w:t>签订日期：     年    月    日</w:t>
            </w:r>
          </w:p>
        </w:tc>
        <w:tc>
          <w:tcPr>
            <w:tcW w:w="4603" w:type="dxa"/>
            <w:noWrap w:val="0"/>
            <w:vAlign w:val="top"/>
          </w:tcPr>
          <w:p w14:paraId="7288D38D">
            <w:pPr>
              <w:tabs>
                <w:tab w:val="left" w:pos="480"/>
              </w:tabs>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 xml:space="preserve">单位名称： </w:t>
            </w:r>
          </w:p>
          <w:p w14:paraId="387DFA5E">
            <w:pPr>
              <w:tabs>
                <w:tab w:val="left" w:pos="480"/>
              </w:tabs>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法定代表人或</w:t>
            </w:r>
            <w:r>
              <w:rPr>
                <w:rFonts w:hint="eastAsia" w:ascii="宋体" w:hAnsi="宋体" w:eastAsia="宋体" w:cs="宋体"/>
                <w:sz w:val="24"/>
                <w:szCs w:val="24"/>
                <w:lang w:eastAsia="zh-CN"/>
              </w:rPr>
              <w:t>经办人</w:t>
            </w:r>
            <w:r>
              <w:rPr>
                <w:rFonts w:hint="eastAsia" w:ascii="宋体" w:hAnsi="宋体" w:eastAsia="宋体" w:cs="宋体"/>
                <w:sz w:val="24"/>
                <w:szCs w:val="24"/>
              </w:rPr>
              <w:t xml:space="preserve">：                                                    </w:t>
            </w:r>
          </w:p>
          <w:p w14:paraId="78A90A41">
            <w:pPr>
              <w:tabs>
                <w:tab w:val="left" w:pos="480"/>
              </w:tabs>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签订日期：      年    月    日</w:t>
            </w:r>
          </w:p>
        </w:tc>
      </w:tr>
    </w:tbl>
    <w:p w14:paraId="0B406A9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C6CD3A"/>
    <w:multiLevelType w:val="singleLevel"/>
    <w:tmpl w:val="05C6CD3A"/>
    <w:lvl w:ilvl="0" w:tentative="0">
      <w:start w:val="1"/>
      <w:numFmt w:val="decimal"/>
      <w:lvlText w:val="%1."/>
      <w:lvlJc w:val="left"/>
      <w:pPr>
        <w:ind w:left="425" w:hanging="425"/>
      </w:pPr>
      <w:rPr>
        <w:rFonts w:hint="default"/>
      </w:rPr>
    </w:lvl>
  </w:abstractNum>
  <w:abstractNum w:abstractNumId="1">
    <w:nsid w:val="26A3CCC8"/>
    <w:multiLevelType w:val="singleLevel"/>
    <w:tmpl w:val="26A3CCC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B2A2D"/>
    <w:rsid w:val="60CB2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2026-06-26T07:19:00Z</dcterms:created>
  <dc:creator>Administrator</dc:creator>
  <cp:lastModifiedBy>Administrator</cp:lastModifiedBy>
  <dcterms:modified xsi:type="dcterms:W3CDTF">2026-06-26T07:24:59Z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1725698B2F204E81A2EE88883014BEF0_11</vt:lpwstr>
  </property>
  <property fmtid="{D5CDD505-2E9C-101B-9397-08002B2CF9AE}" pid="4" name="KSOTemplateDocerSaveRecord">
    <vt:lpwstr>eyJoZGlkIjoiZDg4YTM1MTc5ZWFlY2RmMTczNGYyZmE2Yzc3NTY2NzYiLCJ1c2VySWQiOiI0NTA5Nzk3MDQifQ==</vt:lpwstr>
  </property>
</Properties>
</file>