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版本号：ZHZB-2026-11920260903001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原创儿童话剧《哪吒之守护》复排提质参评第十一届陕西省艺术节项目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ZHZB-2026-119</w:t>
      </w:r>
      <w:r>
        <w:br/>
      </w:r>
      <w:r>
        <w:br/>
      </w:r>
      <w:r>
        <w:br/>
      </w:r>
    </w:p>
    <w:p>
      <w:pPr>
        <w:pStyle w:val="null3"/>
        <w:jc w:val="center"/>
        <w:outlineLvl w:val="5"/>
      </w:pPr>
      <w:r>
        <w:rPr>
          <w:rFonts w:ascii="仿宋_GB2312" w:hAnsi="仿宋_GB2312" w:cs="仿宋_GB2312" w:eastAsia="仿宋_GB2312"/>
          <w:sz w:val="15"/>
          <w:b/>
        </w:rPr>
        <w:t>铜川市文化和旅游局</w:t>
      </w:r>
    </w:p>
    <w:p>
      <w:pPr>
        <w:pStyle w:val="null3"/>
        <w:jc w:val="center"/>
        <w:outlineLvl w:val="5"/>
      </w:pPr>
      <w:r>
        <w:rPr>
          <w:rFonts w:ascii="仿宋_GB2312" w:hAnsi="仿宋_GB2312" w:cs="仿宋_GB2312" w:eastAsia="仿宋_GB2312"/>
          <w:sz w:val="15"/>
          <w:b/>
        </w:rPr>
        <w:t>众合国际项目管理有限公司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铜川市文化和旅游局</w:t>
      </w:r>
      <w:r>
        <w:rPr>
          <w:rFonts w:ascii="仿宋_GB2312" w:hAnsi="仿宋_GB2312" w:cs="仿宋_GB2312" w:eastAsia="仿宋_GB2312"/>
        </w:rPr>
        <w:t>委托，拟对</w:t>
      </w:r>
      <w:r>
        <w:rPr>
          <w:rFonts w:ascii="仿宋_GB2312" w:hAnsi="仿宋_GB2312" w:cs="仿宋_GB2312" w:eastAsia="仿宋_GB2312"/>
        </w:rPr>
        <w:t>原创儿童话剧《哪吒之守护》复排提质参评第十一届陕西省艺术节项目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ZHZB-2026-119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原创儿童话剧《哪吒之守护》复排提质参评第十一届陕西省艺术节项目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原创儿童话剧《哪吒之守护》复排提质参评第十一届陕西省艺术节项目(具体详见文件)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采购包1（原创儿童话剧《哪吒之守护》复排提质参评第十一届陕西省艺术节项目）：属于专门面向null采购。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1、营业执照：提供有效合格的统一社会信用代码的营业执照，其他组织经营的须提供合法凭证，自然人的提供身份证明文件</w:t>
      </w:r>
    </w:p>
    <w:p>
      <w:pPr>
        <w:pStyle w:val="null3"/>
      </w:pPr>
      <w:r>
        <w:rPr>
          <w:rFonts w:ascii="仿宋_GB2312" w:hAnsi="仿宋_GB2312" w:cs="仿宋_GB2312" w:eastAsia="仿宋_GB2312"/>
        </w:rPr>
        <w:t>2、财务状况报告：提供 2025 年度经审计的完整财务报告或开标日期前三个月内其基本存款账户开户银行出具的资信证明。（如提供资信证明，须同时提供基本存款账户开户许可证或基本账户信息表）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3、税收缴纳证明：提供2026年1月至今已缴纳的至少一个月的纳税证明，依法免税的单位应提供相关证明材料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5、具有设备和专业技术能力：具备履行合同所必须的设备和专业技术能力的书面声明</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截图：供应商在递交响应文件截止时间前被“信用中国”网站（www.creditchina.gov.cn）列入重大税收违法失信主体名单；被“中国执行信息公开网（http://zxgk.court.gov.cn）”列入失信被执行人；被“中国政府采购网”（www.ccgp.gov.cn）列入政府采购严重违法失信行为信息记录的， 不得参加投标</w:t>
      </w:r>
    </w:p>
    <w:p>
      <w:pPr>
        <w:pStyle w:val="null3"/>
      </w:pPr>
      <w:r>
        <w:rPr>
          <w:rFonts w:ascii="仿宋_GB2312" w:hAnsi="仿宋_GB2312" w:cs="仿宋_GB2312" w:eastAsia="仿宋_GB2312"/>
        </w:rPr>
        <w:t>8、法定代表人授权书或被授权人身份证明：法定代表人直接参加投标的，须出具法定代表人身份证明书;法定代表人授权代表参加投标的，须出具法定代表人授权委托书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9、企业关联关系：单位负责人为同一人或者存在直接控股、管理关系的不同供应商不得参加同一合同项下的政府采购活动；为本项目提供整体设计、规范编制或者项目管理、监理、检测等服务的供应商, 不得再参加采购项目的其他采购活动。供应商需在项目电子化交易系统中按要求填写《投标函》完成承诺并进行电子签章。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10、非联合体投标：本项目不接受联合体投标， 提供非联合体投标声明。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韦雨濛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09193185751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周阿静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029-88770917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采购包1：1,550,000.00元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采购包1：1,550,000.00元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根据成交金额，参照国家计委2002年颁发的《招标代理服务收费管理暂行办法》(计价格[2002)1980号)及《国家发展改革委关于进一步放开建设项目专业服务价格的通知》(发改价格[2015]299号)的规定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铜川市文化和旅游局</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铜川市文化和旅游局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联系人：周阿静</w:t>
      </w:r>
    </w:p>
    <w:p>
      <w:pPr>
        <w:pStyle w:val="null3"/>
      </w:pPr>
      <w:r>
        <w:rPr>
          <w:rFonts w:ascii="仿宋_GB2312" w:hAnsi="仿宋_GB2312" w:cs="仿宋_GB2312" w:eastAsia="仿宋_GB2312"/>
        </w:rPr>
        <w:t>联系电话：029-88770917</w:t>
      </w:r>
    </w:p>
    <w:p>
      <w:pPr>
        <w:pStyle w:val="null3"/>
      </w:pPr>
      <w:r>
        <w:rPr>
          <w:rFonts w:ascii="仿宋_GB2312" w:hAnsi="仿宋_GB2312" w:cs="仿宋_GB2312" w:eastAsia="仿宋_GB2312"/>
        </w:rPr>
        <w:t>地址：西安市莲湖区丰登南路3号1幢306室(丰庆公园北门往西200米PM中心三楼)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原创儿童话剧《哪吒之守护》复排提质参评第十一届陕西省艺术节项目（具体详见文件）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1,550,000.00</w:t>
      </w:r>
    </w:p>
    <w:p>
      <w:pPr>
        <w:pStyle w:val="null3"/>
      </w:pPr>
      <w:r>
        <w:rPr>
          <w:rFonts w:ascii="仿宋_GB2312" w:hAnsi="仿宋_GB2312" w:cs="仿宋_GB2312" w:eastAsia="仿宋_GB2312"/>
        </w:rPr>
        <w:t>采购包最高限价（元）: 1,550,000.00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1.保障《哪吒之守护》剧目提质升级；2.确保顺利参加陕西省第十一届艺术节文华奖参评参演。</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标的名称：1.保障《哪吒之守护》剧目提质升级；2.确保顺利参加陕西省第十一届艺术节文华奖参评参演。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1.保障《哪吒之守护》剧目提质升级；</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2.确保顺利参加陕西省第十一届艺术节文华奖参评参演。</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根据采购人要求及合同约定执行。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自签订合同之日起至2026年10月15日，具体以甲方安排工作时间为准，满足采购人要求。</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进度款，完成所有服务内容，经验收合格后，达到付款条件起30个工作日内，支付合同总金额的40.0%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 中的相关条款执行。 2、未按照合同要求提供服务或服务质量不能满足服务要求和标准，采购人有权终止合同， 并对供方违约行为进行追究， 同时按《中华人民共和国政府采购法》 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根据采购人要求及合同约定执行。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提供有效合格的统一社会信用代码的营业执照，其他组织经营的须提供合法凭证，自然人的提供身份证明文件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2025 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在递交响应文件截止时间前被“信用中国”网站（www.creditchina.gov.cn）列入重大税收违法失信主体名单；被“中国执行信息公开网（http://zxgk.court.gov.cn）”列入失信被执行人；被“中国政府采购网”（www.ccgp.gov.cn）列入政府采购严重违法失信行为信息记录的， 不得参加投标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法定代表人授权书或被授权人身份证明</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提供非联合体投标声明。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投标文件构成无重大缺项，按照招标文件要求的格式编写投标文件</w:t>
            </w:r>
          </w:p>
        </w:tc>
        <w:tc>
          <w:tcPr>
            <w:tcW w:type="dxa" w:w="1661"/>
          </w:tcPr>
          <w:p>
            <w:pPr>
              <w:pStyle w:val="null3"/>
            </w:pPr>
            <w:r>
              <w:rPr>
                <w:rFonts w:ascii="仿宋_GB2312" w:hAnsi="仿宋_GB2312" w:cs="仿宋_GB2312" w:eastAsia="仿宋_GB2312"/>
              </w:rPr>
              <w:t>响应文件封面 服务方案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报价唯一，且没有低于成本价或高于最高限价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投标文件的签署、盖章符合招标文件要求，供应商递交的投标文件与本项目名称一致</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服务内容及服务要求响应招标文件要求</w:t>
            </w:r>
          </w:p>
        </w:tc>
        <w:tc>
          <w:tcPr>
            <w:tcW w:type="dxa" w:w="1661"/>
          </w:tcPr>
          <w:p>
            <w:pPr>
              <w:pStyle w:val="null3"/>
            </w:pPr>
            <w:r>
              <w:rPr>
                <w:rFonts w:ascii="仿宋_GB2312" w:hAnsi="仿宋_GB2312" w:cs="仿宋_GB2312" w:eastAsia="仿宋_GB2312"/>
              </w:rPr>
              <w:t>服务内容及服务要求应答表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