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版本号：SXJHZB-2026-0715-00720260716001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镇巴县2026年农村公路养护工程(S318安镇线马头岭至观音、长岭至三元段桥梁护栏专项改造工程)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SXJHZB-2026-0715-007</w:t>
      </w:r>
      <w:r>
        <w:br/>
      </w:r>
      <w:r>
        <w:br/>
      </w:r>
      <w:r>
        <w:br/>
      </w:r>
    </w:p>
    <w:p>
      <w:pPr>
        <w:pStyle w:val="null3"/>
        <w:jc w:val="center"/>
        <w:outlineLvl w:val="2"/>
      </w:pPr>
      <w:r>
        <w:rPr>
          <w:rFonts w:ascii="仿宋_GB2312" w:hAnsi="仿宋_GB2312" w:cs="仿宋_GB2312" w:eastAsia="仿宋_GB2312"/>
          <w:sz w:val="28"/>
          <w:b/>
        </w:rPr>
        <w:t>镇巴县农村公路事业发展中心</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镇巴县农村公路事业发展中心</w:t>
      </w:r>
      <w:r>
        <w:rPr>
          <w:rFonts w:ascii="仿宋_GB2312" w:hAnsi="仿宋_GB2312" w:cs="仿宋_GB2312" w:eastAsia="仿宋_GB2312"/>
        </w:rPr>
        <w:t>委托，拟对</w:t>
      </w:r>
      <w:r>
        <w:rPr>
          <w:rFonts w:ascii="仿宋_GB2312" w:hAnsi="仿宋_GB2312" w:cs="仿宋_GB2312" w:eastAsia="仿宋_GB2312"/>
        </w:rPr>
        <w:t>镇巴县2026年农村公路养护工程(S318安镇线马头岭至观音、长岭至三元段桥梁护栏专项改造工程)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SXJHZB-2026-0715-007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镇巴县2026年农村公路养护工程(S318安镇线马头岭至观音、长岭至三元段桥梁护栏专项改造工程)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路基填方：80.00m³；M7.5浆砌片石:164.62m³；20cm厚水泥混凝土面层：181.50㎡，；18cm厚C20贫混凝土基层：198.00㎡；破除旧面层：181.50㎡；破除旧基层：198.00㎡；1-1.0m钢筋混凝土圆管涵1道，长8米；波形梁护栏（Gr-A-2C））：92m，9座桥梁更换护栏。工程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采购包1（镇巴县2026年农村公路养护工程(S318安镇线马头岭至观音、长岭至三元段桥梁护栏专项改造工程)）：属于专门面向中小企业采购。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7、联合体投标：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镇巴县农村公路事业发展中心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镇巴县农村公路事业发展中心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0916-6712180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采购包1：915,194.00元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镇巴县农村公路事业发展中心</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镇巴县农村公路事业发展中心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镇巴县农村公路事业发展中心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915,194.00</w:t>
      </w:r>
    </w:p>
    <w:p>
      <w:pPr>
        <w:pStyle w:val="null3"/>
      </w:pPr>
      <w:r>
        <w:rPr>
          <w:rFonts w:ascii="仿宋_GB2312" w:hAnsi="仿宋_GB2312" w:cs="仿宋_GB2312" w:eastAsia="仿宋_GB2312"/>
        </w:rPr>
        <w:t>采购包最高限价（元）: 904,208.00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镇巴县2026年农村公路养护工程(S318安镇线马头岭至观音、长岭至三元段桥梁护栏专项改造工程)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915,194.00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标的名称：镇巴县2026年农村公路养护工程(S318安镇线马头岭至观音、长岭至三元段桥梁护栏专项改造工程)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本项目主要建设内容为：路基填方：</w:t>
            </w:r>
            <w:r>
              <w:rPr>
                <w:rFonts w:ascii="仿宋_GB2312" w:hAnsi="仿宋_GB2312" w:cs="仿宋_GB2312" w:eastAsia="仿宋_GB2312"/>
                <w:sz w:val="28"/>
              </w:rPr>
              <w:t>80.00m³；M7.5浆砌片石:164.62m³；20cm厚水泥混凝土面层：181.50㎡，；18cm厚C20贫混凝土基层：198.00㎡；破除旧面层：181.50㎡；破除旧基层：198.00㎡；1-1.0m钢筋混凝土圆管涵1道，长8米；波形梁护栏（Gr-A-2C））：92m，9座桥梁更换护栏。</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1、设计施工图：汉中坤仪工程管理有限公司设计的《镇巴县2026年农村公路养护工程(S318安镇线马头岭至观音、长岭至三元段桥梁护栏专项改造工程)》施工图设计文件。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jc w:val="left"/>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JTG3830-2018）、《干线公路养护工程预算编制规范》（</w:t>
            </w:r>
            <w:r>
              <w:rPr>
                <w:rFonts w:ascii="仿宋_GB2312" w:hAnsi="仿宋_GB2312" w:cs="仿宋_GB2312" w:eastAsia="仿宋_GB2312"/>
                <w:sz w:val="28"/>
              </w:rPr>
              <w:t>DB61/T 1998</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）《公路养护工程量清单及计量规范》（</w:t>
            </w:r>
            <w:r>
              <w:rPr>
                <w:rFonts w:ascii="仿宋_GB2312" w:hAnsi="仿宋_GB2312" w:cs="仿宋_GB2312" w:eastAsia="仿宋_GB2312"/>
                <w:sz w:val="28"/>
              </w:rPr>
              <w:t>JTG/T 5620—2025）《公路工程建设项目安全生产费用清单及计量规范》（JTG/T 3841—2026）、陕西省交通厅关于执行交通部分《公路工程基本建设项目概算预算定额及编制办法补充规定》、陕西省交通运输厅关于执行交通运输部《公路工程营业税改增值税计价依据调整方案》的通知。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4</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r>
              <w:rPr>
                <w:rFonts w:ascii="仿宋_GB2312" w:hAnsi="仿宋_GB2312" w:cs="仿宋_GB2312" w:eastAsia="仿宋_GB2312"/>
                <w:sz w:val="28"/>
              </w:rPr>
              <w:t>其中路面用中粗砂采用西乡砂，材料价含西乡至工地</w:t>
            </w:r>
            <w:r>
              <w:rPr>
                <w:rFonts w:ascii="仿宋_GB2312" w:hAnsi="仿宋_GB2312" w:cs="仿宋_GB2312" w:eastAsia="仿宋_GB2312"/>
                <w:sz w:val="28"/>
              </w:rPr>
              <w:t>90KM运距，其余砂石材料含料场至工地25KM运距，水泥、钢材含镇巴至工地45KM运距。</w:t>
            </w:r>
          </w:p>
          <w:p>
            <w:pPr>
              <w:pStyle w:val="null3"/>
              <w:ind w:firstLine="537"/>
              <w:jc w:val="both"/>
            </w:pPr>
            <w:r>
              <w:rPr>
                <w:rFonts w:ascii="仿宋_GB2312" w:hAnsi="仿宋_GB2312" w:cs="仿宋_GB2312" w:eastAsia="仿宋_GB2312"/>
                <w:sz w:val="28"/>
              </w:rPr>
              <w:t>2、其它直接费</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基本措施费按陕南地区计入</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风沙地区施工不计</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行车干扰按</w:t>
            </w:r>
            <w:r>
              <w:rPr>
                <w:rFonts w:ascii="仿宋_GB2312" w:hAnsi="仿宋_GB2312" w:cs="仿宋_GB2312" w:eastAsia="仿宋_GB2312"/>
                <w:sz w:val="28"/>
              </w:rPr>
              <w:t>500以下计入</w:t>
            </w:r>
            <w:r>
              <w:rPr>
                <w:rFonts w:ascii="仿宋_GB2312" w:hAnsi="仿宋_GB2312" w:cs="仿宋_GB2312" w:eastAsia="仿宋_GB2312"/>
                <w:sz w:val="28"/>
                <w:color w:val="000000"/>
              </w:rPr>
              <w:t>；</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ind w:firstLine="630"/>
              <w:jc w:val="both"/>
            </w:pPr>
            <w:r>
              <w:rPr>
                <w:rFonts w:ascii="仿宋_GB2312" w:hAnsi="仿宋_GB2312" w:cs="仿宋_GB2312" w:eastAsia="仿宋_GB2312"/>
                <w:sz w:val="28"/>
              </w:rPr>
              <w:t>3）.增值税按照9%计取。</w:t>
            </w:r>
          </w:p>
          <w:p>
            <w:pPr>
              <w:pStyle w:val="null3"/>
              <w:ind w:firstLine="630"/>
              <w:jc w:val="both"/>
            </w:pPr>
            <w:r>
              <w:rPr>
                <w:rFonts w:ascii="仿宋_GB2312" w:hAnsi="仿宋_GB2312" w:cs="仿宋_GB2312" w:eastAsia="仿宋_GB2312"/>
                <w:sz w:val="28"/>
              </w:rPr>
              <w:t>四、有关情况说明</w:t>
            </w:r>
          </w:p>
          <w:p>
            <w:pPr>
              <w:pStyle w:val="null3"/>
              <w:ind w:firstLine="630"/>
              <w:jc w:val="both"/>
            </w:pPr>
            <w:r>
              <w:rPr>
                <w:rFonts w:ascii="仿宋_GB2312" w:hAnsi="仿宋_GB2312" w:cs="仿宋_GB2312" w:eastAsia="仿宋_GB2312"/>
                <w:sz w:val="28"/>
              </w:rPr>
              <w:t>1、建筑工程一切险按100-1100章合计(不含保险费及安全生产费)*0.3%计算；</w:t>
            </w:r>
          </w:p>
          <w:p>
            <w:pPr>
              <w:pStyle w:val="null3"/>
              <w:ind w:firstLine="630"/>
              <w:jc w:val="both"/>
            </w:pPr>
            <w:r>
              <w:rPr>
                <w:rFonts w:ascii="仿宋_GB2312" w:hAnsi="仿宋_GB2312" w:cs="仿宋_GB2312" w:eastAsia="仿宋_GB2312"/>
                <w:sz w:val="28"/>
              </w:rPr>
              <w:t>2、第三者责任险按100-1100章合计(不含保险费及安全生产费)*0.1%计算；</w:t>
            </w:r>
          </w:p>
          <w:p>
            <w:pPr>
              <w:pStyle w:val="null3"/>
              <w:ind w:firstLine="630"/>
              <w:jc w:val="both"/>
            </w:pPr>
            <w:r>
              <w:rPr>
                <w:rFonts w:ascii="仿宋_GB2312" w:hAnsi="仿宋_GB2312" w:cs="仿宋_GB2312" w:eastAsia="仿宋_GB2312"/>
                <w:sz w:val="28"/>
              </w:rPr>
              <w:t>3、人生意外险按100-1100章合计(不含保险费及安全生产费)*0.15%计算；</w:t>
            </w:r>
          </w:p>
          <w:p>
            <w:pPr>
              <w:pStyle w:val="null3"/>
              <w:ind w:firstLine="630"/>
              <w:jc w:val="both"/>
            </w:pPr>
            <w:r>
              <w:rPr>
                <w:rFonts w:ascii="仿宋_GB2312" w:hAnsi="仿宋_GB2312" w:cs="仿宋_GB2312" w:eastAsia="仿宋_GB2312"/>
                <w:sz w:val="28"/>
              </w:rPr>
              <w:t>4、安全生产费按100-1100章合计(不含保险费及安全生产费)*1.5%计算；</w:t>
            </w:r>
          </w:p>
          <w:p>
            <w:pPr>
              <w:pStyle w:val="null3"/>
              <w:ind w:firstLine="630"/>
              <w:jc w:val="both"/>
            </w:pPr>
            <w:r>
              <w:rPr>
                <w:rFonts w:ascii="仿宋_GB2312" w:hAnsi="仿宋_GB2312" w:cs="仿宋_GB2312" w:eastAsia="仿宋_GB2312"/>
                <w:sz w:val="28"/>
              </w:rPr>
              <w:t>五</w:t>
            </w:r>
            <w:r>
              <w:rPr>
                <w:rFonts w:ascii="仿宋_GB2312" w:hAnsi="仿宋_GB2312" w:cs="仿宋_GB2312" w:eastAsia="仿宋_GB2312"/>
                <w:sz w:val="28"/>
              </w:rPr>
              <w:t>、</w:t>
            </w:r>
            <w:r>
              <w:rPr>
                <w:rFonts w:ascii="仿宋_GB2312" w:hAnsi="仿宋_GB2312" w:cs="仿宋_GB2312" w:eastAsia="仿宋_GB2312"/>
                <w:sz w:val="28"/>
              </w:rPr>
              <w:t>最高限价</w:t>
            </w:r>
          </w:p>
          <w:p>
            <w:pPr>
              <w:pStyle w:val="null3"/>
              <w:ind w:firstLine="560"/>
              <w:jc w:val="left"/>
            </w:pPr>
            <w:r>
              <w:rPr>
                <w:rFonts w:ascii="仿宋_GB2312" w:hAnsi="仿宋_GB2312" w:cs="仿宋_GB2312" w:eastAsia="仿宋_GB2312"/>
                <w:sz w:val="28"/>
              </w:rPr>
              <w:t>最高限价</w:t>
            </w:r>
            <w:r>
              <w:rPr>
                <w:rFonts w:ascii="仿宋_GB2312" w:hAnsi="仿宋_GB2312" w:cs="仿宋_GB2312" w:eastAsia="仿宋_GB2312"/>
                <w:sz w:val="28"/>
              </w:rPr>
              <w:t>金额</w:t>
            </w:r>
            <w:r>
              <w:rPr>
                <w:rFonts w:ascii="仿宋_GB2312" w:hAnsi="仿宋_GB2312" w:cs="仿宋_GB2312" w:eastAsia="仿宋_GB2312"/>
                <w:sz w:val="28"/>
              </w:rPr>
              <w:t>：</w:t>
            </w:r>
            <w:r>
              <w:rPr>
                <w:rFonts w:ascii="仿宋_GB2312" w:hAnsi="仿宋_GB2312" w:cs="仿宋_GB2312" w:eastAsia="仿宋_GB2312"/>
                <w:sz w:val="28"/>
              </w:rPr>
              <w:t xml:space="preserve"> 904208.00 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 2、质量：交工验收的质量评定：合格； 竣工验收的质量评定：合格； 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提供汉中市政府采购供应商资格承诺函或相关证明文件，供应商需在项目电子化交易系统中按要求上传相应证明文件并进行电子签章。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项目经理简历表.pdf 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 供应商认为需要提供的其他内容.pdf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响应文件封面 技术响应方案.docx 残疾人福利性单位声明函 报价函 项目经理简历表.pdf 标的清单 拟投入本项目人员配置情况表.pdf 供应商类似项目业绩一览表 响应函 供应商认为需要提供的其他内容.pdf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响应文件封面 技术响应方案.docx 残疾人福利性单位声明函 报价函 项目经理简历表.pdf 标的清单 拟投入本项目人员配置情况表.pdf 供应商类似项目业绩一览表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2、具有3年（含）及以上类似工程施工工作经验得2分（以执业资格证或建造师注册证书发证时间为准），3年以下的得1分；评审依据：以申请人加盖公章的执业资格证或建造师注册证书发证时间为准； 3、至少提供2023年1月1日至今类似业绩证明，得2分。 (注：业绩须是供应商项目经理完成的公路工程同类施工业绩，提供中标通知书、协议书（合同）或完工证明或竣工验收证明原件或加盖公章的复印件等其他合法证明材料，否则不得分。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注：业绩须是供应商完成的公路工程同类施工业绩，提供中标通知书、协议书（合同）或完工证明或竣工验收证明原件或加盖公章的复印件等其他合法证明材料，否则不作为加分项。其次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