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EC32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kern w:val="0"/>
        </w:rPr>
        <w:t>采购内容及要求</w:t>
      </w:r>
    </w:p>
    <w:p w14:paraId="0FFE1EF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一、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项目概况</w:t>
      </w:r>
    </w:p>
    <w:p w14:paraId="788B20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2026年揉谷镇陵湾村生产路硬化项目</w:t>
      </w:r>
    </w:p>
    <w:p w14:paraId="3179B2F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工程地址：揉谷镇陵湾村。</w:t>
      </w:r>
    </w:p>
    <w:p w14:paraId="6529BC6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工程内容：本工程位于陕西省杨凌示范区，建设内容为2026年揉谷镇陵湾村生产路硬化项目。施工内容为挖一般土方、余方弃置、石灰稳定土（300mm  3:7灰土）、水泥混凝土（180mm厚C25水泥混凝土）、培土路肩等内容。</w:t>
      </w:r>
    </w:p>
    <w:p w14:paraId="49363F4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天</w:t>
      </w:r>
    </w:p>
    <w:p w14:paraId="0590D71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、工程质量等级：合格</w:t>
      </w:r>
    </w:p>
    <w:p w14:paraId="2A68E2C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、验收标准：国家标准、行业标准、企业标准。</w:t>
      </w:r>
    </w:p>
    <w:p w14:paraId="55FC1E1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、现场要求：项目现场材料堆放整齐，安全可靠。</w:t>
      </w:r>
    </w:p>
    <w:p w14:paraId="03EAE2C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、工程量：本项目按给定工程量，并结合现场情况，进行实施。措施费、人工费各供应商自行考虑，计入报价。</w:t>
      </w:r>
    </w:p>
    <w:p w14:paraId="656B0A9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二、施工要求</w:t>
      </w:r>
    </w:p>
    <w:p w14:paraId="4146DC4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1、工程实行包工包料，不得转包、分包。</w:t>
      </w:r>
    </w:p>
    <w:p w14:paraId="2187E8A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2、供应商在本工程中的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项目经理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352BA52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、施工过程中，严格遵守建设单位的各种管理规定及规章制度，做到文明施工。发生工伤及意外事故由供应商负责。</w:t>
      </w:r>
    </w:p>
    <w:p w14:paraId="339C425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、严格按照国家和省上有关规定施工，如有更改须事先征得有关方面的同意，并在采购人落实后实施，并出具书面说明。</w:t>
      </w:r>
    </w:p>
    <w:p w14:paraId="2A1348B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三、施工具备的条件</w:t>
      </w:r>
    </w:p>
    <w:p w14:paraId="1CA01A4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1、现场具备实施条件。</w:t>
      </w:r>
    </w:p>
    <w:p w14:paraId="55036ED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2、材料、设备全部由成交供应商自行采购。</w:t>
      </w:r>
    </w:p>
    <w:p w14:paraId="75AF62D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3、水电设施齐全。</w:t>
      </w:r>
    </w:p>
    <w:p w14:paraId="3AC4AA6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四、质量保证</w:t>
      </w:r>
    </w:p>
    <w:p w14:paraId="191B7CD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1、施工方必须依据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谈判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要求，按照有关规范施工，确保工程优良，一次性验收交接。</w:t>
      </w:r>
    </w:p>
    <w:p w14:paraId="281947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选用的主材、设备、辅材必须是合格产品，并明确其品牌、规格、型号、产地，并附鉴定证书，对主要设备材料必须先提交样品，经认质后，方可订货，不得使用未经检验或不合格的设备、材料，若发生此种情况，将追究相关人员责任，并赔偿由此造成的一切经济损失。</w:t>
      </w:r>
    </w:p>
    <w:p w14:paraId="6E03592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3、施工方必须向采购人及时提供合格证及材料检验单。在征得有关方面认可后，方可进行施工，并做好相应的检验环节。</w:t>
      </w:r>
    </w:p>
    <w:p w14:paraId="28897C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4、施工方未经采购人同意，不得擅自更换本工程在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谈判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响应文件中指定的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项目经理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及施工队伍。不得分包、转包。确需分包、转包时须征得采购人同意。否则将终止合同并按政府采购有关规定进行处理。</w:t>
      </w:r>
    </w:p>
    <w:p w14:paraId="60C279D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4D1CA01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6、将严格按照工艺流程和现行国家安全规范施工，严格执行施工要点，保证处理处置等级达到国家标准。</w:t>
      </w:r>
    </w:p>
    <w:p w14:paraId="2680F05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E3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2026-10-12T02:49:25Z</dcterms:created>
  <dc:creator>Administrator</dc:creator>
  <cp:lastModifiedBy>颜小玩.</cp:lastModifiedBy>
  <dcterms:modified xsi:type="dcterms:W3CDTF">2026-10-12T02:49:30Z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eyJoZGlkIjoiZmQxZTEyMGYyYzg5NDgxZGExYmM5MDZjNTBlYzVmMmEiLCJ1c2VySWQiOiI0NzY2ODExODYifQ==</vt:lpwstr>
  </property>
  <property fmtid="{D5CDD505-2E9C-101B-9397-08002B2CF9AE}" pid="4" name="ICV">
    <vt:lpwstr>578226B252714D9F80093B51AB1A87A9_12</vt:lpwstr>
  </property>
</Properties>
</file>