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 w:eastAsia="宋体"/>
          <w:b/>
          <w:bCs/>
          <w:sz w:val="40"/>
          <w:szCs w:val="36"/>
          <w:lang w:val="en-US" w:eastAsia="zh-CN"/>
        </w:rPr>
      </w:pPr>
      <w:r>
        <w:rPr>
          <w:rFonts w:hint="eastAsia"/>
          <w:b/>
          <w:bCs/>
          <w:sz w:val="40"/>
          <w:szCs w:val="36"/>
          <w:lang w:val="en-US" w:eastAsia="zh-CN"/>
        </w:rPr>
        <w:t>采购需求</w:t>
      </w:r>
    </w:p>
    <w:p w14:paraId="46B64E6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一、采购目的</w:t>
      </w:r>
    </w:p>
    <w:p w14:paraId="21D1ADE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保障大队驻地餐厅每日四餐主副食日常供给，保证大队各项工作正常运转。</w:t>
      </w:r>
    </w:p>
    <w:p w14:paraId="7C222EF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default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二、服务期限</w:t>
      </w:r>
      <w:bookmarkStart w:id="0" w:name="_GoBack"/>
      <w:bookmarkEnd w:id="0"/>
    </w:p>
    <w:p w14:paraId="648368A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default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宋体" w:eastAsia="仿宋_GB2312" w:cs="Tahoma"/>
          <w:color w:val="000000"/>
          <w:kern w:val="0"/>
          <w:sz w:val="28"/>
          <w:szCs w:val="28"/>
          <w:highlight w:val="none"/>
          <w:lang w:val="en-US" w:eastAsia="zh-CN" w:bidi="ar-SA"/>
        </w:rPr>
        <w:t>自合同签订之日起一年</w:t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。</w:t>
      </w:r>
    </w:p>
    <w:p w14:paraId="489D2E4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三、服务内容及要求</w:t>
      </w:r>
    </w:p>
    <w:p w14:paraId="365B054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（一）服务内容</w:t>
      </w:r>
    </w:p>
    <w:p w14:paraId="5465F1A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需满足大队79人一日四餐的主副食供给需求，含采购蔬菜类、肉蛋类、米面油、干货调料、奶制品、水果等6类。供给面食品种含包子、馒头、面条、各类小吃糕点等成品及半成品，供给各类应季蔬菜瓜果、肉蛋奶、各类干货调料及副食等。</w:t>
      </w:r>
    </w:p>
    <w:p w14:paraId="09A6630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（二）服务要求</w:t>
      </w:r>
    </w:p>
    <w:p w14:paraId="6CAA17E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1、所有供给材料，供应商必须按照采购人要求的种类、规格进行供货，满足大队使用需求。供应商应按大队指定时间，配送至</w:t>
      </w: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咸阳市秦都区上林街道沣经大道渭水园19 号楼一单元能源金融贸易区大队食堂</w:t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。原则上每天上午8 :40 前配送至大队，特殊任务及不可抗力影响下，以大队通知为准，大队有权根据实际需求量随时调整采购计划及供货时间段。</w:t>
      </w:r>
    </w:p>
    <w:p w14:paraId="06FBF4E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2、供应商自备送货车（冷藏或恒温），安排专人及时供货，装卸费、送货费及运输安全由供货方承担。</w:t>
      </w:r>
    </w:p>
    <w:p w14:paraId="5CD60BC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四、主副食采购及配送要求</w:t>
      </w:r>
    </w:p>
    <w:p w14:paraId="284AD3E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（一）采购基本要求</w:t>
      </w:r>
    </w:p>
    <w:p w14:paraId="37A6914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default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所有食材均须符合《中华人民共和国食品安全法》,须具备所配送产品的检测报告或食品检验合格证。食品中污染物限量应符合GB2762-2022 标准规定。不得采购转基因食品或利用转基因食品原料加工的成品。具体要求如下：</w:t>
      </w:r>
    </w:p>
    <w:p w14:paraId="2088C20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1、大米必须符合 GB/T 1354-2018 标准，拥有“QS”食品质量安全认证，并列明可提供配送产品的品牌清单、每个品牌详细的参数或指标。</w:t>
      </w:r>
    </w:p>
    <w:p w14:paraId="2E305D4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2、食用油必须符合 GB/T 1536-2021 标准，拥有“QS”食品质量安全认证，并列明可提供配送产品的品牌清单、每个品牌详细的参数或指标。</w:t>
      </w:r>
    </w:p>
    <w:p w14:paraId="65D775D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3、面粉必须符合 GB/T 1355-2021标准，拥有“QS”食品质量安全认证，并列明可提供配送产品的品牌清单、每个品牌详细的参数或指标。</w:t>
      </w:r>
    </w:p>
    <w:p w14:paraId="4A02677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4、杂粮及调味品要品质好，无霉变、无杂质。定型包装调味品必须具有“QS”食品质量安全认证，建议供给市面常用的平价品牌调味品。</w:t>
      </w:r>
    </w:p>
    <w:p w14:paraId="7507518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5、乳制品及其他半成品送货当日时间不得超过保质期的1/3时长，具有“QS”食品质量安全认证。</w:t>
      </w:r>
    </w:p>
    <w:p w14:paraId="0A26EE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6、蔬菜、水果、禽蛋必须保证新鲜，果蔬必须符合GB2763-2021食品中农药最大残留限量标准并具有农药残留检验记录，蔬菜建议应季蔬菜为主。</w:t>
      </w:r>
    </w:p>
    <w:p w14:paraId="453616A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7、肉类、冷冻产品必须保证质量，应具有相关动物检验检疫合格证明，供货渠道应设有固定的经营场所，并具有符合卫生防疫监督部门要求的肉类食材屠宰厂的经营授权书，含水(冰)率符合标准。</w:t>
      </w:r>
    </w:p>
    <w:p w14:paraId="10E786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8、豆制品当日时间不得超过保质期的1/3时长，具有“QS”食品质量安全认证。</w:t>
      </w:r>
    </w:p>
    <w:p w14:paraId="645FE71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注：如国家制定新的食品安全标准，即按新标准执行。</w:t>
      </w:r>
    </w:p>
    <w:tbl>
      <w:tblPr>
        <w:tblStyle w:val="10"/>
        <w:tblW w:w="92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6"/>
        <w:gridCol w:w="7014"/>
        <w:gridCol w:w="967"/>
      </w:tblGrid>
      <w:tr w14:paraId="68F7E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09D54FFB">
            <w:pPr>
              <w:pStyle w:val="8"/>
              <w:adjustRightIn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7014" w:type="dxa"/>
            <w:noWrap w:val="0"/>
            <w:vAlign w:val="center"/>
          </w:tcPr>
          <w:p w14:paraId="155718E7">
            <w:pPr>
              <w:pStyle w:val="8"/>
              <w:adjustRightIn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  <w:t>技术、规格、质量要求及包装标准</w:t>
            </w:r>
          </w:p>
        </w:tc>
        <w:tc>
          <w:tcPr>
            <w:tcW w:w="967" w:type="dxa"/>
            <w:noWrap w:val="0"/>
            <w:vAlign w:val="center"/>
          </w:tcPr>
          <w:p w14:paraId="2A959419">
            <w:pPr>
              <w:pStyle w:val="8"/>
              <w:adjustRightIn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6695F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5EDEAD9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肉禽类</w:t>
            </w:r>
          </w:p>
        </w:tc>
        <w:tc>
          <w:tcPr>
            <w:tcW w:w="7014" w:type="dxa"/>
            <w:noWrap w:val="0"/>
            <w:vAlign w:val="center"/>
          </w:tcPr>
          <w:p w14:paraId="40DF1BA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肉身必须盖有卫生检疫章，须出具加盖国家或地方政府监督所检疫章的动物检疫证明。肉品须表皮洁净、膘厚适中、色 泽鲜亮、纹理清晰、肉质细腻、无异味、去骨、无毛、按压无水迹。</w:t>
            </w:r>
          </w:p>
        </w:tc>
        <w:tc>
          <w:tcPr>
            <w:tcW w:w="967" w:type="dxa"/>
            <w:vMerge w:val="restart"/>
            <w:noWrap w:val="0"/>
            <w:vAlign w:val="center"/>
          </w:tcPr>
          <w:p w14:paraId="1A4858E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所 有商 品必 须满 足国 家和 地方 相关 规定</w:t>
            </w:r>
          </w:p>
        </w:tc>
      </w:tr>
      <w:tr w14:paraId="2BF9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5104F94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  <w:p w14:paraId="4127CF6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蔬菜类</w:t>
            </w:r>
          </w:p>
        </w:tc>
        <w:tc>
          <w:tcPr>
            <w:tcW w:w="7014" w:type="dxa"/>
            <w:noWrap w:val="0"/>
            <w:vAlign w:val="center"/>
          </w:tcPr>
          <w:p w14:paraId="259C3D7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当季各类新鲜蔬菜以及大棚种植蔬菜，蔬菜类必须保证无黄叶、枯死叶、无虫、无杂质，须48小时内采摘供应。原菜须保证菜面干净、无明显泥土、码放整齐、无破损、大小基本统一、不得过熟或欠熟；净菜须保证菜面完全干净、无泥土、按统一标准加工、码放整齐、无须二次处理可以直接进行熟加工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3A078A4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2A2A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3B3A364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蛋类</w:t>
            </w:r>
          </w:p>
        </w:tc>
        <w:tc>
          <w:tcPr>
            <w:tcW w:w="7014" w:type="dxa"/>
            <w:noWrap w:val="0"/>
            <w:vAlign w:val="center"/>
          </w:tcPr>
          <w:p w14:paraId="24864F6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鲜新、大小均匀、无破损、色泽光滑，须出具加盖地方政府监督所检疫章的动物检疫证明。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66DA379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55998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306" w:type="dxa"/>
            <w:noWrap w:val="0"/>
            <w:vAlign w:val="center"/>
          </w:tcPr>
          <w:p w14:paraId="7BB54B4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豆制品</w:t>
            </w:r>
          </w:p>
        </w:tc>
        <w:tc>
          <w:tcPr>
            <w:tcW w:w="7014" w:type="dxa"/>
            <w:noWrap w:val="0"/>
            <w:vAlign w:val="center"/>
          </w:tcPr>
          <w:p w14:paraId="74658BE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豆腐、豆腐干、绿豆芽、黄豆芽、红豆等；须保证食材干净、不含非食品用化学物质、按统一标准加工、码放整齐、无须二次处理可以直接进行熟加工，具有“QS ”食品质量安全认证。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0600262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05888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32AD842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水果</w:t>
            </w:r>
          </w:p>
        </w:tc>
        <w:tc>
          <w:tcPr>
            <w:tcW w:w="7014" w:type="dxa"/>
            <w:noWrap w:val="0"/>
            <w:vAlign w:val="center"/>
          </w:tcPr>
          <w:p w14:paraId="6E863F0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当季各类水果，无虫、无杂质，须保证水果新鲜，原水果 须保证果面干净、无明显泥土、码放整齐、无破损、大小基本统一、不得过熟或欠熟。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750F15D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4B4F4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08F0219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米线面条</w:t>
            </w:r>
          </w:p>
        </w:tc>
        <w:tc>
          <w:tcPr>
            <w:tcW w:w="7014" w:type="dxa"/>
            <w:noWrap w:val="0"/>
            <w:vAlign w:val="center"/>
          </w:tcPr>
          <w:p w14:paraId="2BE5928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米线、鲜面条、干面条、饵丝；要求原材料不含非食品用 化学物质、不掺假、不过期、不变质、不变味、无杂质、无毒害，符合国家食品行业的标准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369C009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3744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2FE2611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大米</w:t>
            </w:r>
          </w:p>
        </w:tc>
        <w:tc>
          <w:tcPr>
            <w:tcW w:w="7014" w:type="dxa"/>
            <w:noWrap w:val="0"/>
            <w:vAlign w:val="center"/>
          </w:tcPr>
          <w:p w14:paraId="354E0EF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大米必须符合 GB/T 1354-2018 标准，拥有“QS ”食品质量安全认证，无掺杂、无沙石，碎米少，无黄粒米；大米包装袋上印有大米品名、等级、数量、出厂名、厂家地址及其电话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4C6D1F2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6B279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06" w:type="dxa"/>
            <w:noWrap w:val="0"/>
            <w:vAlign w:val="center"/>
          </w:tcPr>
          <w:p w14:paraId="34FDEC7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面粉</w:t>
            </w:r>
          </w:p>
        </w:tc>
        <w:tc>
          <w:tcPr>
            <w:tcW w:w="7014" w:type="dxa"/>
            <w:noWrap w:val="0"/>
            <w:vAlign w:val="center"/>
          </w:tcPr>
          <w:p w14:paraId="5D0D043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面粉必须符合 GB/T 1355-2021 标准，拥有“QS ”食品质量安全认证，色泽正常，干爽无异味。按进货量抽查 20%,数量按抽查验收实数为准；包装袋上有注册商标，有检验合格证、生产日期和保质期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3B14B1C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75430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06" w:type="dxa"/>
            <w:noWrap w:val="0"/>
            <w:vAlign w:val="center"/>
          </w:tcPr>
          <w:p w14:paraId="057A704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食用油</w:t>
            </w:r>
          </w:p>
        </w:tc>
        <w:tc>
          <w:tcPr>
            <w:tcW w:w="7014" w:type="dxa"/>
            <w:noWrap w:val="0"/>
            <w:vAlign w:val="center"/>
          </w:tcPr>
          <w:p w14:paraId="7608C1F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食用油必须符合 GB/T 1536-2021 标准，拥有“QS ”食品质量安全认证；有合格检疫报告，外观的色泽、透明度、气味滋味等无异常；定型包装。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7D6CB3A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0EB04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06" w:type="dxa"/>
            <w:noWrap w:val="0"/>
            <w:vAlign w:val="center"/>
          </w:tcPr>
          <w:p w14:paraId="7E3713A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水产品</w:t>
            </w:r>
          </w:p>
        </w:tc>
        <w:tc>
          <w:tcPr>
            <w:tcW w:w="7014" w:type="dxa"/>
            <w:noWrap w:val="0"/>
            <w:vAlign w:val="center"/>
          </w:tcPr>
          <w:p w14:paraId="39F4CA3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草鱼、黑鱼、桂鱼、鲈鱼等鱼类要求体表光滑无病灶，有鲜鱼鳞片完整，无鳞鱼无浑浊粘液，肉质干燥，紧密，呈白色 或淡黄色眼球外突饱满透明，鳃丝清晰鲜红或暗红，保持活体状态固有本色，无异味，鱼类肌肉紧密有弹性， 内脏清晰可辨无腐烂。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10FE2A0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332DF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06" w:type="dxa"/>
            <w:noWrap w:val="0"/>
            <w:vAlign w:val="center"/>
          </w:tcPr>
          <w:p w14:paraId="6C72E7C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冻品</w:t>
            </w:r>
          </w:p>
        </w:tc>
        <w:tc>
          <w:tcPr>
            <w:tcW w:w="7014" w:type="dxa"/>
            <w:noWrap w:val="0"/>
            <w:vAlign w:val="center"/>
          </w:tcPr>
          <w:p w14:paraId="120C265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冻品外包装需完整，无破损，无不封口现象，有生产日期。冻品在解冻后，发现质量问题需退货。符合国家绿色批发市场标准，应具备满足交易需要的冷冻贮藏设施。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18CE987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07F06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06" w:type="dxa"/>
            <w:noWrap w:val="0"/>
            <w:vAlign w:val="center"/>
          </w:tcPr>
          <w:p w14:paraId="75C0C0A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调料</w:t>
            </w:r>
          </w:p>
        </w:tc>
        <w:tc>
          <w:tcPr>
            <w:tcW w:w="7014" w:type="dxa"/>
            <w:noWrap w:val="0"/>
            <w:vAlign w:val="center"/>
          </w:tcPr>
          <w:p w14:paraId="1A8C01B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外包装无污物、无泄漏，无胀袋或胖听或鼓盖现象，无变质发霉现象。色泽正常，具有该品种固有的香味，滋味无异味，油酱均匀的酱体或无结块的粉状固体，封口平整，无破包，夹包，漏包，无污染。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3B2A363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660A1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06" w:type="dxa"/>
            <w:noWrap w:val="0"/>
            <w:vAlign w:val="center"/>
          </w:tcPr>
          <w:p w14:paraId="35951A2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副食及</w:t>
            </w:r>
          </w:p>
          <w:p w14:paraId="10543B3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其他</w:t>
            </w:r>
          </w:p>
        </w:tc>
        <w:tc>
          <w:tcPr>
            <w:tcW w:w="7014" w:type="dxa"/>
            <w:noWrap w:val="0"/>
            <w:vAlign w:val="center"/>
          </w:tcPr>
          <w:p w14:paraId="2BBCAF6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  <w:t>须保证食材干净、不含非食品用化学物质、按统一标准加工、码放整齐、无须二次处理可以直接进行熟加工。</w:t>
            </w:r>
          </w:p>
        </w:tc>
        <w:tc>
          <w:tcPr>
            <w:tcW w:w="967" w:type="dxa"/>
            <w:vMerge w:val="continue"/>
            <w:noWrap w:val="0"/>
            <w:vAlign w:val="center"/>
          </w:tcPr>
          <w:p w14:paraId="558C77A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" w:eastAsia="仿宋_GB2312" w:cs="Times New Roman"/>
                <w:color w:val="000000"/>
                <w:sz w:val="28"/>
                <w:szCs w:val="28"/>
                <w:highlight w:val="none"/>
                <w:lang w:val="en-US" w:eastAsia="zh-CN"/>
              </w:rPr>
            </w:pPr>
          </w:p>
        </w:tc>
      </w:tr>
    </w:tbl>
    <w:p w14:paraId="75F2C8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（二）原材料配送要求</w:t>
      </w:r>
    </w:p>
    <w:p w14:paraId="27EBB3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1、配送基本情况</w:t>
      </w:r>
    </w:p>
    <w:p w14:paraId="377EBC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餐厅供应模式为早、午、晚、夜宵四餐分段供应；用餐人数暂定79人。</w:t>
      </w:r>
    </w:p>
    <w:p w14:paraId="1F3289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2、配送要求</w:t>
      </w:r>
    </w:p>
    <w:p w14:paraId="0FE28A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（1）供应商要在每天上午8 :40 前把蔬菜食品运至指定咸阳市秦都区上林街道沣经大道渭水园19 号楼一单元能源金融贸易区大队食堂，以保障大队食堂的正常运行。</w:t>
      </w:r>
    </w:p>
    <w:p w14:paraId="642AD6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（2）供应商根据大队食堂要求提供食材的种类，规格来供应产品，保质保量满足食堂需求。</w:t>
      </w:r>
    </w:p>
    <w:p w14:paraId="01B40F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3）供应商自备送货车（冷藏或恒温），安排专人及时供货，装卸费、送货费用及运输安全由供货方承担；根据原材料特点（冷藏、冷冻、恒温），采用不同的自备送货车俩，安排符合卫生标准和健康标准的车辆和人员送货。</w:t>
      </w:r>
    </w:p>
    <w:p w14:paraId="54F027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（4）米、面、油主食类、干货调味品、杂粮等食材根据食堂需求用量及库存条件，按食堂要求时间送货。</w:t>
      </w:r>
    </w:p>
    <w:p w14:paraId="4C0D7C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（5）蔬菜水果、肉类原则上要求每天送货1次，确保蔬菜新鲜。</w:t>
      </w:r>
    </w:p>
    <w:p w14:paraId="3DFBBD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（6）乳制品根据大队食堂需求送货。</w:t>
      </w:r>
    </w:p>
    <w:p w14:paraId="2A8103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（7）特殊情况下，大队食堂需要的小批量的急用物资，供应商应在2小时以内予以满足解决。</w:t>
      </w:r>
    </w:p>
    <w:p w14:paraId="6EBF6C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（8）所有食材供应商必须按照采购人要求的种类、规格进行供货，满足采购人使用需求。所有食材采购均以采购人通知为准（具体配送种类以采购人前一天的采购单为准）采购人有权根据实际需求量随时调整采购计划及供货时间段。</w:t>
      </w:r>
    </w:p>
    <w:p w14:paraId="0ADC46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（三）质量保证</w:t>
      </w:r>
    </w:p>
    <w:p w14:paraId="7661F9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1、供应商需派一名项目经理，直接与采购人沟通，项目经理接收采购人提出的问题与要求，并及时反馈给工作组，解决在项目实施过程中遇到的问题。</w:t>
      </w:r>
    </w:p>
    <w:p w14:paraId="405CB6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2、项目在实施过程中会出现不可预料的需求变更，供应商需积极配合采购人的需求变更，并按照变更后的需求继续进行方案实施。</w:t>
      </w:r>
    </w:p>
    <w:p w14:paraId="65865B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" w:eastAsia="仿宋_GB2312" w:cs="Times New Roman"/>
          <w:color w:val="000000"/>
          <w:kern w:val="2"/>
          <w:sz w:val="28"/>
          <w:szCs w:val="28"/>
          <w:lang w:val="en-US" w:eastAsia="zh-CN" w:bidi="ar-SA"/>
        </w:rPr>
        <w:t>3、供应商所提供的食材应符合国家食品安全的相关规定，如出现食物中毒等不良反应的，导致采购人担责的，采购人有权向供应商追偿。</w:t>
      </w:r>
    </w:p>
    <w:p w14:paraId="17ECC8E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四、验收</w:t>
      </w:r>
    </w:p>
    <w:p w14:paraId="1F34CC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（一）原材料验收由采购人业务管理方、成交供应商、餐厅使用方，三方现场检验，对供应产品的质量无异议、数量准确无误后，三方签字，各自留存。所有配送食材每日均留存样品1份，保存时间为48小时。</w:t>
      </w:r>
    </w:p>
    <w:p w14:paraId="25B81FF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（二）成交供应商对所供食材质量负全部责任，食材发生任何质量问题、安全问题由供应商全部负责解决，给采购人等造成损失，成交供应商需承担赔偿责任。</w:t>
      </w:r>
    </w:p>
    <w:p w14:paraId="6ACA27C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五、款项结算及支付</w:t>
      </w:r>
    </w:p>
    <w:p w14:paraId="4F5B02C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一）本项目为固定费率报价，最终以双方验收合格并确认的供货量及价格，按季度据实结算并支付。最终结算总价不得超过本项目采购预算616200.00元。供应商承担食材供应、运输、仓储、保管、税费等履行本合同所需的一切费用。</w:t>
      </w:r>
    </w:p>
    <w:p w14:paraId="7C9B968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（二）单日结算价以配送当天的食材总价×成交费率作为结算价（例如：费率为90%，当天配送食材总价为1000元，即实际结算价：1000×90%=900元）。</w:t>
      </w:r>
    </w:p>
    <w:p w14:paraId="47509A3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（三）供应商配送的食材价格，同类单品单价不得超过采购人附近的</w:t>
      </w: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大型超市（永辉超市、华润万家、润佳等）或市场的食材价格</w:t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，采购人有权不定时进行实地摸排，并抽查《西安市农业农村局》（</w:t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instrText xml:space="preserve"> HYPERLINK "http://nyncj.xa.gov.cn/" </w:instrText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http://nyncj.xa.gov.cn/</w:t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fldChar w:fldCharType="end"/>
      </w: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）关于蔬菜、水果、肉蛋奶的零售价格明细，每发现一次，采购人将扣除当月食材总价款的5%作为违约金。</w:t>
      </w:r>
    </w:p>
    <w:p w14:paraId="64659C2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（四）采购人每次付款前，供应商应提供符合采购人要求的等额增值税普通发票。因供应商逾期提供发票或提供发票不符合采购人要求，致使采购人逾期付款的责任，由供应商自行承担，采购人不承担违约责任。</w:t>
      </w:r>
    </w:p>
    <w:p w14:paraId="2A9DF6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（五）支付方式：采取银行转账方式支付。</w:t>
      </w:r>
    </w:p>
    <w:p w14:paraId="1818A49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六、供应责任</w:t>
      </w:r>
    </w:p>
    <w:p w14:paraId="48D4E5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（一）原材料没有按时按要求配送到位，成交供应商须以当日需求计划总量2倍价款赔付当日食材。</w:t>
      </w:r>
    </w:p>
    <w:p w14:paraId="4D9FC7F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（二）成交供应商应严格遵守《中华人民共和国食品安全法》、《中华人民共和国动物检疫法》、《食品安全国家标准食品添加剂使用标准》（GB 2760-2014）等相关规定，一经发现供应以下食品，除全部退货外，将取消成交供应商的供货资格，由成交供应商承担由此造成的经济责任和法律责任，并处违约金5000-50000元：</w:t>
      </w:r>
    </w:p>
    <w:p w14:paraId="70721D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1、腐败变质，油脂酸败，霉变，生虫，污秽不洁，混有异物或者其他感官性状异常，含有毒，有害物质污染，可能对人体健康有害的食品；</w:t>
      </w:r>
    </w:p>
    <w:p w14:paraId="3D65E1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2、含有毒、有害物质或者被有害物质污染，对人体健康有害的；</w:t>
      </w:r>
    </w:p>
    <w:p w14:paraId="6B75A07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3、含有致病性寄生虫、微生物或者微生物含量超过国家限定标准的；</w:t>
      </w:r>
    </w:p>
    <w:p w14:paraId="7F941A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4、未经动物检疫部门检疫、检验或者检疫、检验不合格的肉类及其制品；</w:t>
      </w:r>
    </w:p>
    <w:p w14:paraId="63863CD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5、掺假、掺杂、以次充好，影响营养、卫生的；</w:t>
      </w:r>
    </w:p>
    <w:p w14:paraId="4CBB910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6、用非食品原料加工的，加入非食品用化学物质；</w:t>
      </w:r>
    </w:p>
    <w:p w14:paraId="3E3C0B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7、无品名、产地、厂名，生产日期，保质期及中文标识及原料说明的定型包装食品；</w:t>
      </w:r>
    </w:p>
    <w:p w14:paraId="2597961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8、超过保质期限或不符合食品标签规定的定型包装食品；</w:t>
      </w:r>
    </w:p>
    <w:p w14:paraId="1FDBD3A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9、病死或者死因不明的水产品、畜、禽及其制品，劣质食用油,不合格调味品，工业用盐，非食品原料和滥用食品添加剂，农药残留超标的蔬菜等；</w:t>
      </w:r>
    </w:p>
    <w:p w14:paraId="30AC3EA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10、其他不符合食品卫生标准和要求的食品。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3A2454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A31950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3803888"/>
    <w:rsid w:val="34391CBC"/>
    <w:rsid w:val="34880D18"/>
    <w:rsid w:val="34E06B1D"/>
    <w:rsid w:val="34FD51B3"/>
    <w:rsid w:val="37B13F46"/>
    <w:rsid w:val="37EB55A8"/>
    <w:rsid w:val="385935CD"/>
    <w:rsid w:val="3A6F7E2D"/>
    <w:rsid w:val="3ABB227F"/>
    <w:rsid w:val="3C31041F"/>
    <w:rsid w:val="3D1928D1"/>
    <w:rsid w:val="3F41226C"/>
    <w:rsid w:val="41271A71"/>
    <w:rsid w:val="427D3EB0"/>
    <w:rsid w:val="4A3C512E"/>
    <w:rsid w:val="4BE156B5"/>
    <w:rsid w:val="4EE80B08"/>
    <w:rsid w:val="50742555"/>
    <w:rsid w:val="523A2454"/>
    <w:rsid w:val="530774AF"/>
    <w:rsid w:val="55A52421"/>
    <w:rsid w:val="579A3366"/>
    <w:rsid w:val="59502521"/>
    <w:rsid w:val="5ADC0ED2"/>
    <w:rsid w:val="5B0842C5"/>
    <w:rsid w:val="5C036210"/>
    <w:rsid w:val="5CD53D97"/>
    <w:rsid w:val="5EAE573F"/>
    <w:rsid w:val="5F171848"/>
    <w:rsid w:val="615B30D9"/>
    <w:rsid w:val="615C33BC"/>
    <w:rsid w:val="636D3049"/>
    <w:rsid w:val="64EB452C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A7665E7"/>
    <w:rsid w:val="7B7D3A13"/>
    <w:rsid w:val="7CCE6984"/>
    <w:rsid w:val="7D393C95"/>
    <w:rsid w:val="7D6D78F8"/>
    <w:rsid w:val="7DF2584A"/>
    <w:rsid w:val="7E442ED0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0"/>
    <w:pPr>
      <w:keepNext/>
      <w:adjustRightInd w:val="0"/>
      <w:snapToGrid w:val="0"/>
      <w:spacing w:line="700" w:lineRule="exact"/>
      <w:jc w:val="center"/>
      <w:outlineLvl w:val="0"/>
    </w:pPr>
    <w:rPr>
      <w:rFonts w:ascii="黑体" w:hAnsi="黑体" w:cs="Times New Roman"/>
      <w:b/>
      <w:sz w:val="36"/>
      <w:szCs w:val="24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2"/>
      <w:szCs w:val="24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30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Body Text"/>
    <w:basedOn w:val="1"/>
    <w:next w:val="1"/>
    <w:autoRedefine/>
    <w:qFormat/>
    <w:uiPriority w:val="0"/>
    <w:pPr>
      <w:spacing w:after="120" w:afterLines="0" w:afterAutospacing="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6"/>
      <w:szCs w:val="24"/>
      <w:lang w:eastAsia="en-US"/>
    </w:rPr>
  </w:style>
  <w:style w:type="character" w:customStyle="1" w:styleId="13">
    <w:name w:val="标题 1 Char"/>
    <w:link w:val="2"/>
    <w:autoRedefine/>
    <w:qFormat/>
    <w:uiPriority w:val="0"/>
    <w:rPr>
      <w:rFonts w:ascii="宋体" w:hAnsi="宋体" w:eastAsia="仿宋_GB2312" w:cs="Times New Roman"/>
      <w:b/>
      <w:bCs/>
      <w:snapToGrid w:val="0"/>
      <w:color w:val="000000"/>
      <w:spacing w:val="-4"/>
      <w:kern w:val="44"/>
      <w:sz w:val="44"/>
      <w:szCs w:val="24"/>
      <w:lang w:val="en-US" w:eastAsia="en-US" w:bidi="ar-SA"/>
    </w:rPr>
  </w:style>
  <w:style w:type="character" w:customStyle="1" w:styleId="14">
    <w:name w:val="标题 3 Char"/>
    <w:link w:val="4"/>
    <w:qFormat/>
    <w:uiPriority w:val="0"/>
    <w:rPr>
      <w:rFonts w:ascii="Calibri" w:hAnsi="Calibri" w:eastAsia="仿宋_GB2312" w:cs="Times New Roman"/>
      <w:b/>
      <w:bCs/>
      <w:sz w:val="32"/>
      <w:szCs w:val="24"/>
    </w:rPr>
  </w:style>
  <w:style w:type="paragraph" w:customStyle="1" w:styleId="15">
    <w:name w:val="列出段落1"/>
    <w:basedOn w:val="1"/>
    <w:qFormat/>
    <w:uiPriority w:val="0"/>
    <w:pPr>
      <w:ind w:firstLine="20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3877</Words>
  <Characters>4064</Characters>
  <Lines>0</Lines>
  <Paragraphs>0</Paragraphs>
  <TotalTime>0</TotalTime>
  <ScaleCrop>false</ScaleCrop>
  <LinksUpToDate>false</LinksUpToDate>
  <CharactersWithSpaces>4107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2025-03-19T09:39:00Z</dcterms:created>
  <dc:creator>华采</dc:creator>
  <cp:lastModifiedBy>陕西华采招标有限公司</cp:lastModifiedBy>
  <cp:lastPrinted>2025-04-23T07:04:00Z</cp:lastPrinted>
  <dcterms:modified xsi:type="dcterms:W3CDTF">2026-06-08T09:09:14Z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698F4D42A60D4C23B6F2940341982374_11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