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1CE5F">
      <w:pPr>
        <w:adjustRightInd w:val="0"/>
        <w:snapToGrid w:val="0"/>
        <w:spacing w:line="360" w:lineRule="auto"/>
        <w:jc w:val="center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8"/>
          <w:szCs w:val="28"/>
        </w:rPr>
        <w:t>采购内容及要求</w:t>
      </w:r>
    </w:p>
    <w:p w14:paraId="07C4CC69">
      <w:pPr>
        <w:tabs>
          <w:tab w:val="left" w:pos="7665"/>
        </w:tabs>
        <w:adjustRightInd w:val="0"/>
        <w:snapToGrid w:val="0"/>
        <w:spacing w:line="360" w:lineRule="auto"/>
        <w:ind w:firstLine="48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为满足全省司法行政戒毒系统工作需要，保障司法部视频点名系统、视频监控上传系统、数据采集平台、视频会议、协同办公等业务系统的正常运行。拟采购全省戒毒系统备用专网租赁服务，下联13个戒毒所。省戒毒局到各戒毒所链路带宽均为50M。</w:t>
      </w:r>
    </w:p>
    <w:p w14:paraId="4E1F35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1B40C2"/>
    <w:rsid w:val="421B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2026-07-15T09:46:00Z</dcterms:created>
  <dc:creator>XXIA</dc:creator>
  <cp:lastModifiedBy>XXIA</cp:lastModifiedBy>
  <dcterms:modified xsi:type="dcterms:W3CDTF">2026-07-15T09:47:11Z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C804BE393B8A4F41AB9B213BB50F20AA_11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