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版本号：JXRC-25101220260430001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水环境治理材料形貌原位测试分析仪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JXRC-251012</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水环境治理材料形貌原位测试分析仪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JXRC-251012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水环境治理材料形貌原位测试分析仪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拟采购设备可提供高分辨率微观形貌分析，支持水利材料、水处理技术及污染物微观机制研究，助力新型水处理材料研发，提升教学科研水平。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pPr>
      <w:r>
        <w:rPr>
          <w:rFonts w:ascii="仿宋_GB2312" w:hAnsi="仿宋_GB2312" w:cs="仿宋_GB2312" w:eastAsia="仿宋_GB2312"/>
        </w:rPr>
        <w:t>8、授权：所投进口产品的，须提供所投产品厂家授权书或总代理商授权书（提供总代理商授权书的须出具有效授权权限的相关证明文件，证明文件须能显示产品制造厂家对所投产品授权链条的完整性）（制造商直接参与投标的不提供此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开户银行：民生银行西安分行营业部(备注:转账时须附言“251012投标保证金”)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 （1）合同签订后不能按合同时限要求供货的；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拟采购设备可提供高分辨率微观形貌分析，支持水利材料、水处理技术及污染物微观机制研究，助力新型水处理材料研发，提升教学科研水平。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水环境治理材料形貌原位测试分析仪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标的名称：水环境治理材料形貌原位测试分析仪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1.电源:220V/50Hz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2.运行环境温度:17-28℃</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3.运行环境:相对湿度＜80%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4.仪器运行的持久性:可连续运行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5.技术规格，电子枪：钨灯丝阴极；</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5.1分辨率:二次电子图像：≤3.0nm@30KV，≤8.0nm@3KV；</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5.2加速电压：≤200V-30KV，连续可调，步进精度≤10V；</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5.3放大倍数：≤4倍-100万倍，连续可调，步进倍率≤1倍；</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5.4电子光学软件：可模拟和进行束斑优化，包括直接和连续控制电子束束斑和束流大小；</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5.5电子束追踪系统：确保操作者设定的束流值与真实作用在样品上的束流相一致，能谱仪（EDS）分析可以在相同条件下进行重复实验或表征，电子背散射衍射（EBSD）可根据测试所需通过软件设置固定的测试束斑直径；二次电子和背散射电子成像系统：自动调节亮度、对比度、对焦及消像散；工作模式：分辨率模式、景深模式、视野模式及大视野模式，通过切换直接进行检测，无需对参数进设置；</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5.6光阑连续可调：电磁光阑通过软件进行调整，无需手动操作；</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5.7光电联用软件：可与光学显微镜、激光共聚焦等进行联用；</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5.8配备3D防碰撞模块：防碰撞模型软件虚拟出样品室内部，直观的显示样品室内的所有硬件的几何关系，样品台的大小和位置，以及样品和安装的其它附件，防碰撞模型软件可以通过预测成像或分析过程中的移动和相互作用。</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6.样品室。 样品台移动范围（计算机控制五轴马达驱动样品台优中心，保证样品台旋转或倾斜后视野不变）： X≥80mm，Y≥60mm，Z≥50mm T≥-80°到+80°连续可调 R≥360°连续旋转；样品台承重:≥1Kg；大于或等于12个探测器/附件接口。</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7.检测器。样品室内E-T式二次电子探测器；样品室内手动可伸缩-背散射电子探测器；样品室红外CCD相机；皮安计，以及触碰报警功能。</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8．真空系统：涡轮分子泵及机械泵。</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9.样品室真空。高真空模式下≤9×10-3Pa；固定真空模式：≤30±10Pa；更换样品抽真空时间:≤4min。</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10．扫描系统及图像采集系统。</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10.1驻留时间：20ns–10ms，阶段或连续可调；扫描模式：全帧，选定区域，线或点扫描；图像移动，旋转和倾斜补偿；</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10.2最大像素：16K×16K；能够同时支持多达8个实时信号通道；实时伪彩图像和多通道信号混合；多种图像格式：至少包含TIFF，PNG，BMP，JPEG，GIF；动态范围：8或16bit。</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11.自动功能：电子枪启动控制，电子枪和镜筒对中，对比度和亮度，自动聚焦，电子束实时追踪等。</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12.软件。自定义界面布局；多用户管理软件管理；单幅，双幅实时图像显示；多通道实时伪彩图像；测量软件，公差测量软件；图像处理；远程控制。</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13.电镜软件语言：中文及英文等；数据处理系统：性能不低于CPU4核，主频3.6GHZ，内存16GB，同时配有500GB固态硬盘+2TB机械硬盘 显卡2GB GDDR5 PCI-E x16，Windows 10 Pro 64-bit操作系统，32”QHD显示器；基于Windows操作系统的用户界面，键盘、光电鼠标及轨迹球进行操作。</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14.电制冷能谱仪。Mn K能量分辨率优于129eV，F K能量分辨率优于67eV，C K能量分辨率优于56eV。</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15.晶体面积≥45m㎡，活区面积≥30m㎡。</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16.超轻元素窗口,元素探测范围B(5)~Am(95)</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17.探测器管径≤16.8mm，最大化立体角，最优化信号量。</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19.针对极低死时间设计的混合脉冲处理器，最大输入计数高于1500,000cps，最大输出计数率600,000cps。</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21.完全由软件自动控制的硬件校准</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22.用于谱图采集和定性分析的软件，带有最完备的原子数据库（包含K、L、M、N线系）</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23.用于无标样定量谱图分析的自动软件工具。1-30KV加速电压下超过2200条线数据库，实现全电压段精确定量。采集图像软件，以及用于外部扫描系统的驱动；点、区域分析软件，支持采集完成后在采集区域内调节分析区域；超快速线扫描软件；元素面分布，存储每像素点原始谱图，支持采集完成后重构点、区域、线扫描、面分布数据；</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24.支持元素面分布时实时重叠峰剥离；可编辑的报告模板。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合同签订后，进口设备150个日历日完成供货、安装、调试，达到交付使用条件。国产设备30个日历日完成供货、安装、调试，达到交付使用条件。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西安理工大学曲江校区教九楼（以采购人指定地点为准）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一、（1）产品保修期：自验收合格之日起1年； （2）质保期自甲方在货物质量验收合格之日起计算。质保期内非人为因素造成的产品质量问题，乙方按质保政策一律免除相关配件及人工费用。 二、产品保修期内，修理、更换、退货要求。 （1）质量标准：中标人的产品质量应当符合国家行业规定的标准，并无任何瑕疵；中标人应按配置清单要求提供原装产品，除人为因素损坏外，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一、专用工具、备品备件、安装调试及配套工程等要求 （1）专用工具及备件 专用工具：提供专用工具包，包含但不限于：高精度镊子、样品座和样品台、导电胶、碳导电双面胶带、样品剪/切片工具等样品制备与操作工具；擦拭纸、气吹、吸尘器等日常清洁与维护工具；精密螺丝刀套装、观察镜、通针等精密调整与应急工具；防静电手套、护目镜等安全防护用品等； （1） 安装调试要求 2.1厂家免费负责仪器安装、调试，验收合格；自验收日起，厂家提供一年质保； 2.2安装标准：执行GB50231-2009《机械设备安装工程施工及验收通用规范》； 2.3调试周期：连续72小时无故障运行测试； （3）配套工程 基础施工：包含安装设备所需叉车及各种工具（需提前2日做好准备）。 二、售后服务 （1）响应时限：8小时电话响应，72小时现场响应 （2）定期维护：每年1次，提供预防性维护服务。 （3）人员培训：提供相关操作人员培训资料。 （4）保修期内定期免费1次回访客户，检查仪器状态。如发现有问题，立即调整和检修；保修期外每年定期免费1次回访客户，检查仪器状态。如发现有问题，立即调整和检修。如发生故障，需更换零部件，按照成本价收取，人工费按照优惠价收取，且厂商需做到先维修后付费以保证仪器的正常运行；保修期外，如需维修，厂商售后需在12小时要响应。如确有需要，72小时内维修人员要到达现场并做出处理意见；厂家在中国设有专门的应用中心，3个以上的固定维修站，并配有专业的维修工程师，保证提供及时优质的售后服务，并提供操作人员的免费培训。 三、国家相关标准、行业标准、地方标准或者其他标准、规范 （1）GB/T 27788-2020 《微束分析 扫描电子显微镜 图像放大校准通则》 （2）GB/T 25189-2010 《微束分析 扫描电子显微术 图像清晰度评价方法》 （3）GB/T 16594-2008 《微米级长度的扫描电镜测量方法》 四、付款条件（因系统编制受限，付款方式招标文件中有不一致的以此处为准）： 进口产品付款条件：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 国产产品付款方式：乙方按照合同规定期限内供货、调试完成，经甲方最终验收合格并签署《验收合格确认书》后7个工作日内，向乙方支付全部合同款项。乙方应在甲方付款前，向甲方开具全额合法有效的增值税专用发票。 五、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六、本项目已通过进口产品论证，投标文件中接受外文资料，但应对应翻译成中文并附在相关外文资料后面。 七、对本国产品给予价格评审优惠：根据《国务院办公厅关于在政府采购中实施本国产品标准及相关政策的通知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w:t>
            </w:r>
          </w:p>
        </w:tc>
        <w:tc>
          <w:tcPr>
            <w:tcW w:type="dxa" w:w="3322"/>
          </w:tcPr>
          <w:p>
            <w:pPr>
              <w:pStyle w:val="null3"/>
            </w:pPr>
            <w:r>
              <w:rPr>
                <w:rFonts w:ascii="仿宋_GB2312" w:hAnsi="仿宋_GB2312" w:cs="仿宋_GB2312" w:eastAsia="仿宋_GB2312"/>
              </w:rPr>
              <w:t>所投进口产品的，须提供所投产品厂家授权书或总代理商授权书（提供总代理商授权书的须出具有效授权权限的相关证明文件，证明文件须能显示产品制造厂家对所投产品授权链条的完整性）（制造商直接参与投标的不提供此项）。</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技术响应偏离表 中小企业声明函 企业关联关系声明函 投标保证金缴纳凭证 投标函 其他材料 投标人资格 残疾人福利性单位声明函 标的清单 投标人业绩 关于符合本国产品标准的声明函 投标文件封面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 带“★”标识（共4项）的参数需求为实质性要求，必须响应并满足参数需求 1、带“▲”号技术指标满分20分（共10项），有一项不满足扣2分； 2、非“▲”和非“★”号技术参数满分10分（共18项），每有一项负偏离扣0.6分。 注：对标“▲”和“★”号技术参数供应商必须提供相关技术参数佐证材料（不限于国家认可的检测机构出具的检测报告或制造商检验报告或产品彩页或官网功能截图或其他证明材料）予以证明其技术参数的响应性。未提供或评审委员会认定所提供材料无法有效证明的将视为不满足本参数要求。 3、对非“▲”非“★”号的技术参数投标人在投标文件中应尽可能多地提供技术支持资料予以证明其技术指标响应性，并在技术响应偏离表中标注对应页码及位置。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投标人针对本项目提供完整的项目实施方案。内容包含：①供货运输方案；②具有健全的产品安装、调试、试运行及验收方案；③团队人员配置计划；④应急预案。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三、赋分依据（满分16分） 上述4项评审内容全部满足评审标准得16分；每有一个评审内容缺项扣4分，扣完为止；每有一项评审内容存在缺陷，扣（0-4）分。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投标人提供本项目所投产品的合法来源证明文件，内容包括但不限于产品授权书、销售协议、代理协议或证书、发票等，确保所投产品无假货、水货、翻新货且无产权纠纷。 提供其中任意一项合法来源渠道证明文件，得1分；满分3分，未提供不得分。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 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设备选型方案思路清晰、科学合理、可行性强、完全满足采购人需求得4分； 设备选型方案思路清晰、科学合理、可行性较强、满足采购人需求得2分； 设备选型方案合理完善、可行性较强、基本满足采购人需求得1分；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设备故障及维修服务到场响应时限及措施、备品备件供应计划等方面；②提供售后服务承诺且符合实际需求；③培训方案。 二、评审标准 1、完整性：方案须全面，对评审内容中的各项要求有详细描述； 2、可实施性：切合本项目实际情况，实施步骤清晰、合理； 3、针对性：方案能够紧扣项目实际情况，内容科学合理。 三、赋分依据（满分9分） 上述3项评审内容全部满足评审标准得9分；每有一个评审内容缺项扣3分，扣完为止；每有一项评审内容存在缺陷，扣（0-3）分。 说明：1、缺陷是指内容没有结合项目实际需求、虽有内容但不完善、内容表述前后不一致、套用其他项目方案或与项目需求不匹配及其他不利于项目实施的等任意一种情形。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制造商自2023年1月1日至投标文件递交截止时间前（以合同签订时间为准）类似项目产品业绩，需提供完整且清晰有效的合同复印件及对应货款发票复印件（任意一张），每提供一份完整资料得2分，最多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质保期满足招标文件的基础上，每增加一年得1分（产品验收合格后开始计算），最高得2分。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 注：小微企业、监狱企业或残疾人福利性单位产品的价格给予10%的扣除后，再参与价格评审。对于本国产品给予20%的价格扣除，用扣除后的价格参与评审。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