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版本号：XBZB-2026-05920260430001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北校区1-4号公寓楼电缆更换及对应配电柜改造项目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XBZB-2026-059</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北校区1-4号公寓楼电缆更换及对应配电柜改造项目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XBZB-2026-059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北校区1-4号公寓楼电缆更换及对应配电柜改造项目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学生用电设备的日益增多，1-4号公寓已经使用了20年的铝电缆已经无法承载公寓整体的用电负载。本项目将4栋公寓楼的铝制电缆全部更换为铜电缆，1-4号公寓每栋公寓有供电电缆3根，共有电缆12根，全部由第一变电所内变压器供电，项目还包括部分配套配电柜的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采购包1（北校区1-4号公寓楼电缆更换及对应配电柜改造项目）：属于专门面向中小企业采购。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企业资质：供应商须具备建设部门颁发的建筑机电安装工程专业承包三级及以上资质或输变电工程专业承包三级及以上资质或机电工程施工总承包三级及以上资质或电力工程施工总承包三级及以上资质；具备有效的安全生产许可证。</w:t>
      </w:r>
    </w:p>
    <w:p>
      <w:pPr>
        <w:pStyle w:val="null3"/>
      </w:pPr>
      <w:r>
        <w:rPr>
          <w:rFonts w:ascii="仿宋_GB2312" w:hAnsi="仿宋_GB2312" w:cs="仿宋_GB2312" w:eastAsia="仿宋_GB2312"/>
        </w:rPr>
        <w:t>3、拟派项目经理资质和专业要求：拟派项目经理具有机电工程专业二级及以上注册建造师证，具备有效的安全生产考核合格证书（建安B证），在本单位注册，且无在建工程（提供无在建声明）。</w:t>
      </w:r>
    </w:p>
    <w:p>
      <w:pPr>
        <w:pStyle w:val="null3"/>
      </w:pPr>
      <w:r>
        <w:rPr>
          <w:rFonts w:ascii="仿宋_GB2312" w:hAnsi="仿宋_GB2312" w:cs="仿宋_GB2312" w:eastAsia="仿宋_GB2312"/>
        </w:rPr>
        <w:t>4、供应商及拟派项目经理备案：供应商及拟派项目经理基本信息在“陕西省住房和城乡建设厅”（https://js.shaanxi.gov.cn/）可查询，供应商如为外省进陕企业，还须同时提供“陕西省住房和城乡建设厅”官网企业库外省进陕施工企业信息首页截图；</w:t>
      </w:r>
    </w:p>
    <w:p>
      <w:pPr>
        <w:pStyle w:val="null3"/>
      </w:pPr>
      <w:r>
        <w:rPr>
          <w:rFonts w:ascii="仿宋_GB2312" w:hAnsi="仿宋_GB2312" w:cs="仿宋_GB2312" w:eastAsia="仿宋_GB2312"/>
        </w:rPr>
        <w:t>5、信用信息：供应商未被中国政府采购网（www.ccgp.gov.cn）列入政府采购严重违法失信行为记录名单，未被“信用中国”网站（www.creditch ina.gov.cn）列入失信被执行人和重大税收违法失信主体；（以现场查询结果为准）。</w:t>
      </w:r>
    </w:p>
    <w:p>
      <w:pPr>
        <w:pStyle w:val="null3"/>
      </w:pPr>
      <w:r>
        <w:rPr>
          <w:rFonts w:ascii="仿宋_GB2312" w:hAnsi="仿宋_GB2312" w:cs="仿宋_GB2312" w:eastAsia="仿宋_GB2312"/>
        </w:rPr>
        <w:t>6、联合体：本项目不接受联合体磋商，按要求上传相应证明文件并进行电子签章。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刘辉、卫梦艺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18709196981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开户名称：西北国际（陕西）造价管理集团有限公司</w:t>
            </w:r>
          </w:p>
          <w:p>
            <w:pPr>
              <w:pStyle w:val="null3"/>
            </w:pPr>
            <w:r>
              <w:rPr>
                <w:rFonts w:ascii="仿宋_GB2312" w:hAnsi="仿宋_GB2312" w:cs="仿宋_GB2312" w:eastAsia="仿宋_GB2312"/>
              </w:rPr>
              <w:t>开户银行：中信银行西安南稍门支行</w:t>
            </w:r>
          </w:p>
          <w:p>
            <w:pPr>
              <w:pStyle w:val="null3"/>
            </w:pPr>
            <w:r>
              <w:rPr>
                <w:rFonts w:ascii="仿宋_GB2312" w:hAnsi="仿宋_GB2312" w:cs="仿宋_GB2312" w:eastAsia="仿宋_GB2312"/>
              </w:rPr>
              <w:t>银行账号：8111 7010 1230 0681 516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签订合同前，乙方向甲方缴纳工程总价的3%作为履约保证金，施工完成并通过验收后履约保证金转为质保金，审计结束后10日内，甲方向乙方支付工程价款的100%。（以审计结果为准支付），乙方应在甲方付款前向甲方出具等额完税发票。2.质保金待质保期满后，一次性返回乙方（无息）。</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规定向成交供应商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踏勘时间：2026-05-12 10:00:00</w:t>
            </w:r>
          </w:p>
          <w:p>
            <w:pPr>
              <w:pStyle w:val="null3"/>
              <w:ind w:firstLine="975"/>
            </w:pPr>
            <w:r>
              <w:rPr>
                <w:rFonts w:ascii="仿宋_GB2312" w:hAnsi="仿宋_GB2312" w:cs="仿宋_GB2312" w:eastAsia="仿宋_GB2312"/>
              </w:rPr>
              <w:t>踏勘地点：北区第一变电所</w:t>
            </w:r>
          </w:p>
          <w:p>
            <w:pPr>
              <w:pStyle w:val="null3"/>
              <w:ind w:firstLine="975"/>
            </w:pPr>
            <w:r>
              <w:rPr>
                <w:rFonts w:ascii="仿宋_GB2312" w:hAnsi="仿宋_GB2312" w:cs="仿宋_GB2312" w:eastAsia="仿宋_GB2312"/>
              </w:rPr>
              <w:t>联系人：严波</w:t>
            </w:r>
          </w:p>
          <w:p>
            <w:pPr>
              <w:pStyle w:val="null3"/>
              <w:ind w:firstLine="975"/>
            </w:pPr>
            <w:r>
              <w:rPr>
                <w:rFonts w:ascii="仿宋_GB2312" w:hAnsi="仿宋_GB2312" w:cs="仿宋_GB2312" w:eastAsia="仿宋_GB2312"/>
              </w:rPr>
              <w:t>联系电话号码：13991827929</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联系人：刘辉、卫梦艺</w:t>
      </w:r>
    </w:p>
    <w:p>
      <w:pPr>
        <w:pStyle w:val="null3"/>
      </w:pPr>
      <w:r>
        <w:rPr>
          <w:rFonts w:ascii="仿宋_GB2312" w:hAnsi="仿宋_GB2312" w:cs="仿宋_GB2312" w:eastAsia="仿宋_GB2312"/>
        </w:rPr>
        <w:t>联系电话：18709196981</w:t>
      </w:r>
    </w:p>
    <w:p>
      <w:pPr>
        <w:pStyle w:val="null3"/>
      </w:pPr>
      <w:r>
        <w:rPr>
          <w:rFonts w:ascii="仿宋_GB2312" w:hAnsi="仿宋_GB2312" w:cs="仿宋_GB2312" w:eastAsia="仿宋_GB2312"/>
        </w:rPr>
        <w:t>地址：陕西省西安市碑林区南关正街长安国际F座17层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2,591,948.39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电缆更换改造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标的名称：电缆更换改造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项目概况</w:t>
            </w:r>
          </w:p>
          <w:p>
            <w:pPr>
              <w:pStyle w:val="null3"/>
            </w:pPr>
            <w:r>
              <w:rPr>
                <w:rFonts w:ascii="仿宋_GB2312" w:hAnsi="仿宋_GB2312" w:cs="仿宋_GB2312" w:eastAsia="仿宋_GB2312"/>
                <w:sz w:val="24"/>
                <w:color w:val="000000"/>
              </w:rPr>
              <w:t>随着学生用电设备的日益增多，</w:t>
            </w:r>
            <w:r>
              <w:rPr>
                <w:rFonts w:ascii="仿宋_GB2312" w:hAnsi="仿宋_GB2312" w:cs="仿宋_GB2312" w:eastAsia="仿宋_GB2312"/>
                <w:sz w:val="24"/>
                <w:color w:val="000000"/>
              </w:rPr>
              <w:t>1-4号公寓已经使用了20年的铝电缆已经无法承载公寓整体的用电负载。本项目将4栋公寓楼的铝制电缆全部更换为铜电缆，1-4号公寓每栋公寓有供电电缆3根，共有电缆12根，全部由第一变电所内变压器供电，项目还包括部分配套配电柜的改造，项目预算是260万元。</w:t>
            </w:r>
          </w:p>
          <w:p>
            <w:pPr>
              <w:pStyle w:val="null3"/>
            </w:pPr>
            <w:r>
              <w:rPr>
                <w:rFonts w:ascii="仿宋_GB2312" w:hAnsi="仿宋_GB2312" w:cs="仿宋_GB2312" w:eastAsia="仿宋_GB2312"/>
                <w:sz w:val="24"/>
                <w:color w:val="000000"/>
              </w:rPr>
              <w:t>二、</w:t>
            </w:r>
            <w:r>
              <w:rPr>
                <w:rFonts w:ascii="仿宋_GB2312" w:hAnsi="仿宋_GB2312" w:cs="仿宋_GB2312" w:eastAsia="仿宋_GB2312"/>
                <w:sz w:val="24"/>
                <w:color w:val="000000"/>
              </w:rPr>
              <w:t>工程范围</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4号公寓每栋公寓供电电缆为3根，共计更换电缆12根，合计长度4330米，敷设过程中约一半为电缆沟敷设，一半为直埋敷设，直埋敷设过程需增加桥架、拆铺透水砖、绿化恢复、过路顶管及打水钻洞，及部分配套配电柜的改造。</w:t>
            </w:r>
          </w:p>
          <w:p>
            <w:pPr>
              <w:pStyle w:val="null3"/>
            </w:pPr>
            <w:r>
              <w:rPr>
                <w:rFonts w:ascii="仿宋_GB2312" w:hAnsi="仿宋_GB2312" w:cs="仿宋_GB2312" w:eastAsia="仿宋_GB2312"/>
                <w:sz w:val="24"/>
                <w:color w:val="000000"/>
              </w:rPr>
              <w:t>三</w:t>
            </w:r>
            <w:r>
              <w:rPr>
                <w:rFonts w:ascii="仿宋_GB2312" w:hAnsi="仿宋_GB2312" w:cs="仿宋_GB2312" w:eastAsia="仿宋_GB2312"/>
                <w:sz w:val="24"/>
                <w:color w:val="000000"/>
              </w:rPr>
              <w:t>、</w:t>
            </w:r>
            <w:r>
              <w:rPr>
                <w:rFonts w:ascii="仿宋_GB2312" w:hAnsi="仿宋_GB2312" w:cs="仿宋_GB2312" w:eastAsia="仿宋_GB2312"/>
                <w:sz w:val="24"/>
                <w:color w:val="000000"/>
              </w:rPr>
              <w:t>工期</w:t>
            </w:r>
          </w:p>
          <w:p>
            <w:pPr>
              <w:pStyle w:val="null3"/>
            </w:pPr>
            <w:r>
              <w:rPr>
                <w:rFonts w:ascii="仿宋_GB2312" w:hAnsi="仿宋_GB2312" w:cs="仿宋_GB2312" w:eastAsia="仿宋_GB2312"/>
                <w:sz w:val="24"/>
                <w:color w:val="000000"/>
              </w:rPr>
              <w:t>合同签订之日起</w:t>
            </w:r>
            <w:r>
              <w:rPr>
                <w:rFonts w:ascii="仿宋_GB2312" w:hAnsi="仿宋_GB2312" w:cs="仿宋_GB2312" w:eastAsia="仿宋_GB2312"/>
                <w:sz w:val="24"/>
                <w:color w:val="000000"/>
              </w:rPr>
              <w:t>25日历日之内完工。</w:t>
            </w:r>
          </w:p>
          <w:p>
            <w:pPr>
              <w:pStyle w:val="null3"/>
            </w:pPr>
            <w:r>
              <w:rPr>
                <w:rFonts w:ascii="仿宋_GB2312" w:hAnsi="仿宋_GB2312" w:cs="仿宋_GB2312" w:eastAsia="仿宋_GB2312"/>
                <w:sz w:val="24"/>
                <w:color w:val="000000"/>
              </w:rPr>
              <w:t>四</w:t>
            </w:r>
            <w:r>
              <w:rPr>
                <w:rFonts w:ascii="仿宋_GB2312" w:hAnsi="仿宋_GB2312" w:cs="仿宋_GB2312" w:eastAsia="仿宋_GB2312"/>
                <w:sz w:val="24"/>
                <w:color w:val="000000"/>
              </w:rPr>
              <w:t>、</w:t>
            </w:r>
            <w:r>
              <w:rPr>
                <w:rFonts w:ascii="仿宋_GB2312" w:hAnsi="仿宋_GB2312" w:cs="仿宋_GB2312" w:eastAsia="仿宋_GB2312"/>
                <w:sz w:val="24"/>
                <w:color w:val="000000"/>
              </w:rPr>
              <w:t>质量要求</w:t>
            </w:r>
          </w:p>
          <w:p>
            <w:pPr>
              <w:pStyle w:val="null3"/>
            </w:pPr>
            <w:r>
              <w:rPr>
                <w:rFonts w:ascii="仿宋_GB2312" w:hAnsi="仿宋_GB2312" w:cs="仿宋_GB2312" w:eastAsia="仿宋_GB2312"/>
                <w:sz w:val="24"/>
              </w:rPr>
              <w:t>符合国家现行有关施工质量验收规范</w:t>
            </w:r>
            <w:r>
              <w:rPr>
                <w:rFonts w:ascii="仿宋_GB2312" w:hAnsi="仿宋_GB2312" w:cs="仿宋_GB2312" w:eastAsia="仿宋_GB2312"/>
                <w:sz w:val="24"/>
              </w:rPr>
              <w:t>“合格”要求。</w:t>
            </w:r>
          </w:p>
          <w:p>
            <w:pPr>
              <w:pStyle w:val="null3"/>
            </w:pPr>
            <w:r>
              <w:rPr>
                <w:rFonts w:ascii="仿宋_GB2312" w:hAnsi="仿宋_GB2312" w:cs="仿宋_GB2312" w:eastAsia="仿宋_GB2312"/>
                <w:sz w:val="24"/>
                <w:color w:val="000000"/>
              </w:rPr>
              <w:t>①详细数据参数及要求见招标工程量清单。</w:t>
            </w:r>
          </w:p>
          <w:p>
            <w:pPr>
              <w:pStyle w:val="null3"/>
            </w:pPr>
            <w:r>
              <w:rPr>
                <w:rFonts w:ascii="仿宋_GB2312" w:hAnsi="仿宋_GB2312" w:cs="仿宋_GB2312" w:eastAsia="仿宋_GB2312"/>
                <w:sz w:val="24"/>
                <w:color w:val="000000"/>
              </w:rPr>
              <w:t>②所有主材必须符合国家标准，并提供合格证书及检验报告。按照国家标准规范及甲方要求施工。</w:t>
            </w:r>
          </w:p>
          <w:p>
            <w:pPr>
              <w:pStyle w:val="null3"/>
            </w:pPr>
            <w:r>
              <w:rPr>
                <w:rFonts w:ascii="仿宋_GB2312" w:hAnsi="仿宋_GB2312" w:cs="仿宋_GB2312" w:eastAsia="仿宋_GB2312"/>
                <w:sz w:val="24"/>
                <w:color w:val="000000"/>
              </w:rPr>
              <w:t>五、质保期及质保期保修要求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1）质保期：自验收合格之日起2年。</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2）质保期保修要求：</w:t>
            </w:r>
          </w:p>
          <w:p>
            <w:pPr>
              <w:pStyle w:val="null3"/>
            </w:pPr>
            <w:r>
              <w:rPr>
                <w:rFonts w:ascii="仿宋_GB2312" w:hAnsi="仿宋_GB2312" w:cs="仿宋_GB2312" w:eastAsia="仿宋_GB2312"/>
                <w:sz w:val="24"/>
                <w:color w:val="000000"/>
              </w:rPr>
              <w:t>属于保修范围和内容的项目，承包人应在接到维修通知后，</w:t>
            </w:r>
            <w:r>
              <w:rPr>
                <w:rFonts w:ascii="仿宋_GB2312" w:hAnsi="仿宋_GB2312" w:cs="仿宋_GB2312" w:eastAsia="仿宋_GB2312"/>
                <w:sz w:val="24"/>
                <w:color w:val="000000"/>
              </w:rPr>
              <w:t>1天内派人维修。发生紧急抢修事故(如上水管跑水、爆裂，供电设施漏、断电等)，承包人应在接到事故通知后4小时内到达事故现场并于12小时内完成应急维修。</w:t>
            </w:r>
          </w:p>
          <w:p>
            <w:pPr>
              <w:pStyle w:val="null3"/>
            </w:pPr>
            <w:r>
              <w:rPr>
                <w:rFonts w:ascii="仿宋_GB2312" w:hAnsi="仿宋_GB2312" w:cs="仿宋_GB2312" w:eastAsia="仿宋_GB2312"/>
                <w:sz w:val="24"/>
                <w:color w:val="000000"/>
              </w:rPr>
              <w:t>六、付款方式及履约保证金</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付款方式：分期支付；签合同前乙方向学校缴纳3%履约保证金，竣工验收合格后付至合同总价款的70%，审计后付至审定总价的100%(乙方按国家有关财税规定向甲方开具全额完税发票)，3%的履约保证金自动转化为质保金，在工程竣工验收合格2年后，无质量保修缺陷一次性不计息返还。</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2）履约保证金：</w:t>
            </w:r>
            <w:r>
              <w:rPr>
                <w:rFonts w:ascii="仿宋_GB2312" w:hAnsi="仿宋_GB2312" w:cs="仿宋_GB2312" w:eastAsia="仿宋_GB2312"/>
                <w:sz w:val="24"/>
                <w:color w:val="000000"/>
              </w:rPr>
              <w:t>1.签订合同前，乙方向甲方缴纳工程总价的3%作为履约保证金，施工完成并通过验收后履约保证金转为质保金，审计结束后10日内，甲方向乙方支付工程价款的100%。（以审计结果为准支付），乙方应在甲方付款前向甲方出具等额完税发票。2.质保金待质保期满后，一次性返回乙方（无息）。</w:t>
            </w:r>
          </w:p>
          <w:p>
            <w:pPr>
              <w:pStyle w:val="null3"/>
            </w:pPr>
            <w:r>
              <w:rPr>
                <w:rFonts w:ascii="仿宋_GB2312" w:hAnsi="仿宋_GB2312" w:cs="仿宋_GB2312" w:eastAsia="仿宋_GB2312"/>
                <w:sz w:val="24"/>
                <w:color w:val="000000"/>
              </w:rPr>
              <w:t>七、报价方式</w:t>
            </w:r>
          </w:p>
          <w:p>
            <w:pPr>
              <w:pStyle w:val="null3"/>
            </w:pPr>
            <w:r>
              <w:rPr>
                <w:rFonts w:ascii="仿宋_GB2312" w:hAnsi="仿宋_GB2312" w:cs="仿宋_GB2312" w:eastAsia="仿宋_GB2312"/>
                <w:sz w:val="24"/>
                <w:color w:val="000000"/>
              </w:rPr>
              <w:t>工程量清单报价，工程量清单文件以电子版形式提供。</w:t>
            </w:r>
          </w:p>
          <w:p>
            <w:pPr>
              <w:pStyle w:val="null3"/>
            </w:pPr>
            <w:r>
              <w:rPr>
                <w:rFonts w:ascii="仿宋_GB2312" w:hAnsi="仿宋_GB2312" w:cs="仿宋_GB2312" w:eastAsia="仿宋_GB2312"/>
                <w:sz w:val="24"/>
                <w:color w:val="000000"/>
              </w:rPr>
              <w:t>《工程量清单》纸质版编制单位名称、印章、签字完整，同时提供电子版（广联达版）工程量清单</w:t>
            </w:r>
            <w:r>
              <w:rPr>
                <w:rFonts w:ascii="仿宋_GB2312" w:hAnsi="仿宋_GB2312" w:cs="仿宋_GB2312" w:eastAsia="仿宋_GB2312"/>
                <w:sz w:val="24"/>
                <w:color w:val="000000"/>
              </w:rPr>
              <w:t>PDF格式，工程量清单编制说明，工程量清单电子投标书（ZBS格式或者SXZB格式、GBQ格式）。</w:t>
            </w:r>
            <w:r>
              <w:br/>
            </w:r>
            <w:r>
              <w:rPr>
                <w:rFonts w:ascii="仿宋_GB2312" w:hAnsi="仿宋_GB2312" w:cs="仿宋_GB2312" w:eastAsia="仿宋_GB2312"/>
                <w:sz w:val="24"/>
                <w:color w:val="000000"/>
              </w:rPr>
              <w:t>八、工程验收的主要依据、标准及要求</w:t>
            </w:r>
            <w:r>
              <w:rPr>
                <w:rFonts w:ascii="仿宋_GB2312" w:hAnsi="仿宋_GB2312" w:cs="仿宋_GB2312" w:eastAsia="仿宋_GB2312"/>
                <w:sz w:val="24"/>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规范、规程、标准名称</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《民用建筑电气设计标准》</w:t>
                  </w:r>
                  <w:r>
                    <w:rPr>
                      <w:rFonts w:ascii="仿宋_GB2312" w:hAnsi="仿宋_GB2312" w:cs="仿宋_GB2312" w:eastAsia="仿宋_GB2312"/>
                      <w:sz w:val="24"/>
                      <w:color w:val="000000"/>
                    </w:rPr>
                    <w:t>GB51348-2019</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《建筑设计防火规范》</w:t>
                  </w:r>
                  <w:r>
                    <w:rPr>
                      <w:rFonts w:ascii="仿宋_GB2312" w:hAnsi="仿宋_GB2312" w:cs="仿宋_GB2312" w:eastAsia="仿宋_GB2312"/>
                      <w:sz w:val="24"/>
                      <w:color w:val="000000"/>
                    </w:rPr>
                    <w:t>GB 50016-2014 (2018 版)</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供配电系统设计规范》</w:t>
                  </w:r>
                  <w:r>
                    <w:rPr>
                      <w:rFonts w:ascii="仿宋_GB2312" w:hAnsi="仿宋_GB2312" w:cs="仿宋_GB2312" w:eastAsia="仿宋_GB2312"/>
                      <w:sz w:val="24"/>
                      <w:color w:val="000000"/>
                    </w:rPr>
                    <w:t>GB50052-2009</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《通用用电设备配电设计规范》</w:t>
                  </w:r>
                  <w:r>
                    <w:rPr>
                      <w:rFonts w:ascii="仿宋_GB2312" w:hAnsi="仿宋_GB2312" w:cs="仿宋_GB2312" w:eastAsia="仿宋_GB2312"/>
                      <w:sz w:val="24"/>
                      <w:color w:val="000000"/>
                    </w:rPr>
                    <w:t>GB50055-2011</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《低压配电设计规范》</w:t>
                  </w:r>
                  <w:r>
                    <w:rPr>
                      <w:rFonts w:ascii="仿宋_GB2312" w:hAnsi="仿宋_GB2312" w:cs="仿宋_GB2312" w:eastAsia="仿宋_GB2312"/>
                      <w:sz w:val="24"/>
                      <w:color w:val="000000"/>
                    </w:rPr>
                    <w:t>GB50054-2011</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1、投标报价为完成本项目磋商文件中所提出的工作范围及要求的全部内容，并达到国家及采购人验收标准而产生的所有费用，任何错报、漏报由供应商自行负责。 2、供应商在各大平台有被政府或相关部门通报或者在类似活动中存在违法违规行为的，不得参与该合同项下的投标活动。 3、由供应商自行踏勘现场，以便查明或核实有关编制响应文件和签订合同所必需的一切资料。 4、供应商应承担踏勘现场的责任和风险以及期间发生的一切费用，供应商若因踏勘现场而发生的人身伤亡、财物或其它损失，不论何种原因所造成，采购人和采购代理机构均不负责任。 5、成交供应商在领取成交通知书时需提供纸质版响应文件正本壹份、副本贰份、电子版U盘贰份。纸质版响应文件应与政府采购电子化交易平台中上传的内容保持一致。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施工组织设计.docx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具有财务审计资质单位出具的2024年度或2025年度财务审计报告或磋商前六个月由基本开户银行出具的资信证明及其基本存款账户开户许可证（无基本存款账户开户许可证可提供其基本存款账户信息证明）；或财政部门认可的专业担保机构出具的磋商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施工组织设计.docx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部门颁发的建筑机电安装工程专业承包三级及以上资质或输变电工程专业承包三级及以上资质或机电工程施工总承包三级及以上资质或电力工程施工总承包三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拟派项目经理具有机电工程专业二级及以上注册建造师证，具备有效的安全生产考核合格证书（建安B证），在本单位注册，且无在建工程（提供无在建声明）。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供应商及拟派项目经理备案</w:t>
            </w:r>
          </w:p>
        </w:tc>
        <w:tc>
          <w:tcPr>
            <w:tcW w:type="dxa" w:w="3322"/>
          </w:tcPr>
          <w:p>
            <w:pPr>
              <w:pStyle w:val="null3"/>
            </w:pPr>
            <w:r>
              <w:rPr>
                <w:rFonts w:ascii="仿宋_GB2312" w:hAnsi="仿宋_GB2312" w:cs="仿宋_GB2312" w:eastAsia="仿宋_GB2312"/>
              </w:rPr>
              <w:t>供应商及拟派项目经理基本信息在“陕西省住房和城乡建设厅”（https://js.shaanxi.gov.cn/）可查询，供应商如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供应商未被中国政府采购网（www.ccgp.gov.cn）列入政府采购严重违法失信行为记录名单，未被“信用中国”网站（www.creditch ina.gov.cn）列入失信被执行人和重大税收违法失信主体；（以现场查询结果为准）。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针对本项目提供具体的施工方案进行综合评审。A.方案详细完善、合理可行、针对性强，得6分； B.方案较详细、较合理可行，针对性欠缺，得4分； C.方案简单，可行性及针对性欠缺，得2分；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针对本项目提供具体的安全作业方案及安全配套措施进行综合评审。 A.安全作业方案及安全配套措施完善、合理可行、针对性强，得6分； B.安全作业方案及安全配套措施较合理可行，针对性较强，得4分； C.安全作业方案及安全配套措施简单，可行性及针对性欠缺，得2分。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针对本项目提供的文明施工措施进行综合评审。 A.措施详细完善、合理可行、针对性强，得3分； B.措施一般、基本合理一般，针对性较欠缺，得2分； C.措施简单，可行性及针对性欠缺，得1分； D.其他或未提供得0分。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针对本项目全部工程内容提供①具体的质量保修承诺及保障措施、②工期承诺及保障措施、③后续服务方案。 以上3部分方案内容全面详细、阐述条理清晰详尽、符合本项目采购需求，能有效保障本项目实施的得6分，每有一项方案缺失扣2分，每一项方案内容存在缺陷扣1分。 说明：缺陷是指①内容不合理、虽有内容但内容稀疏、不完善、内容表述前后不一致；②套用其他项目方案或与项目需求不匹配及其他不利于项目实施的等任意一种情形。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针对本项目的项目组织管理机构配备。 A.人员组织架构完整，岗位设置合理、明确，技术人员专业性、经验性强，得 3分； B.人员组织架构有待优化，岗位设置基本合理，技术人员专业性、经验性欠缺，得2分； C.人员组织架构不完整，岗位设置紧张，技术人员专业性、经验性欠缺，得1分； D.其他或未提供得0分。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拟投入本项目的主材清单</w:t>
            </w:r>
          </w:p>
        </w:tc>
        <w:tc>
          <w:tcPr>
            <w:tcW w:type="dxa" w:w="2492"/>
          </w:tcPr>
          <w:p>
            <w:pPr>
              <w:pStyle w:val="null3"/>
            </w:pPr>
            <w:r>
              <w:rPr>
                <w:rFonts w:ascii="仿宋_GB2312" w:hAnsi="仿宋_GB2312" w:cs="仿宋_GB2312" w:eastAsia="仿宋_GB2312"/>
              </w:rPr>
              <w:t>根据供应商提供拟投入本项目的主材清单及主材合格证书及检验报告等证明材料等资料，根据提供内容的完整程度进行综合评分。 A提供主材及清单内容完整齐全，合格证书及检验报告满足采购人要求的，得12分； B.提供主材及清单内容基本齐全，合格证书及检验报告基本满足采购人要求的，得8分； C. 提供主材及清单内容不完整，合格证书及检验报告部分满足采购人要求的，得4分； D.其他或未提供得0分。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针对本项目的临时性、阶段性工作及突发事件的应急处理方案。 A.应急处理方案全面、合理、规范、可实施性强，得3分； B.应急处理方案合理，具有一定实施性，得2分； C.应急处理方案基本合理，可实施性欠缺，得1分； D.其他或未提供得0分。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A.拟派项目经理的职称（3分）拟派项目经理具备高级工程师及以上职称，得3分；拟派项目经理具备工程师职称，得2分；评审依据：评审时以供应商提供的加盖供应商公章的拟派项目经理最高职称证书的扫描件或复印件为准，提供多个职称证明材料的，以最高职称材料为准，未提供的不得分。B.拟派项目经理业绩（3分）供应商每提供1项拟派项目经理自2023年01月以来至今已完成的类似工程项目业绩证明材料的（在该项目中担任项目经理一职），每提供一个得1分；最高得3分。评审依据：附合同复印件或扫描件并加盖供应商公章，时间以合同签订时间为准。缺少资料或未按照上述要求提供的，均按照0分计入。所提供合同复印件或扫描件中必须体现拟派项目经理在该项目中担任项目经理一职，否则不予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供应商2023年1月1日至响应截止时间前类似项目业绩；每提供1份计2分，最高得10分。 业绩证明（时间以合同签订时间为准，须在响应文件中附合同协议书扫描件并加盖单位公章，证明材料不符合要求或未提供的不得分）弄虚作假者，取消其成交资格。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 磋商报价得分=（磋商基准价/最后磋商报价）×45分。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