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版本号：KY2026-3-017.1B120260629001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安防智能化升级改造项目(二次)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KY2026-3-017.1B1</w:t>
      </w:r>
      <w:r>
        <w:br/>
      </w:r>
      <w:r>
        <w:br/>
      </w:r>
      <w:r>
        <w:br/>
      </w:r>
    </w:p>
    <w:p>
      <w:pPr>
        <w:pStyle w:val="null3"/>
        <w:jc w:val="center"/>
        <w:outlineLvl w:val="2"/>
      </w:pPr>
      <w:r>
        <w:rPr>
          <w:rFonts w:ascii="仿宋_GB2312" w:hAnsi="仿宋_GB2312" w:cs="仿宋_GB2312" w:eastAsia="仿宋_GB2312"/>
          <w:sz w:val="28"/>
          <w:b/>
        </w:rPr>
        <w:t>秦始皇帝陵博物院</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秦始皇帝陵博物院</w:t>
      </w:r>
      <w:r>
        <w:rPr>
          <w:rFonts w:ascii="仿宋_GB2312" w:hAnsi="仿宋_GB2312" w:cs="仿宋_GB2312" w:eastAsia="仿宋_GB2312"/>
        </w:rPr>
        <w:t>委托，拟对</w:t>
      </w:r>
      <w:r>
        <w:rPr>
          <w:rFonts w:ascii="仿宋_GB2312" w:hAnsi="仿宋_GB2312" w:cs="仿宋_GB2312" w:eastAsia="仿宋_GB2312"/>
        </w:rPr>
        <w:t>安防智能化升级改造项目(二次)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KY2026-3-017.1B1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安防智能化升级改造项目(二次)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安防智能化升级改造，建设范围包括：（1）东门出口、二道检票口、西职工通道增加人脸识别摄像机；（2）补充完善一、二、三号坑各个出入口的人脸识别和客流统计；（3）后端智能分析及大模型、存储建设；（4）一、二、三号坑电源线及信号传输线缆敷设。</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采购包1（安防智能化升级改造项目）：属于专门面向中小企业采购。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7、法定代表人授权书及被授权人身份证：法定代表人授权书及被授权人身份证复印件。（法定代表人直接磋商只须提交其身份证明书）</w:t>
      </w:r>
    </w:p>
    <w:p>
      <w:pPr>
        <w:pStyle w:val="null3"/>
      </w:pPr>
      <w:r>
        <w:rPr>
          <w:rFonts w:ascii="仿宋_GB2312" w:hAnsi="仿宋_GB2312" w:cs="仿宋_GB2312" w:eastAsia="仿宋_GB2312"/>
        </w:rPr>
        <w:t>8、专业资质：供应商具备电子与智能化工程专业承包二级资质，并具备有效的安全生产许可证</w:t>
      </w:r>
    </w:p>
    <w:p>
      <w:pPr>
        <w:pStyle w:val="null3"/>
      </w:pPr>
      <w:r>
        <w:rPr>
          <w:rFonts w:ascii="仿宋_GB2312" w:hAnsi="仿宋_GB2312" w:cs="仿宋_GB2312" w:eastAsia="仿宋_GB2312"/>
        </w:rPr>
        <w:t>9、项目经理：拟派项目经理具备机电工程专业二级以上（含二级）注册建造师资格及安全生产考核合格证(建安B证)，在本单位注册且无其他在建工程（提供无在建工程的承诺函）</w:t>
      </w:r>
    </w:p>
    <w:p>
      <w:pPr>
        <w:pStyle w:val="null3"/>
      </w:pPr>
      <w:r>
        <w:rPr>
          <w:rFonts w:ascii="仿宋_GB2312" w:hAnsi="仿宋_GB2312" w:cs="仿宋_GB2312" w:eastAsia="仿宋_GB2312"/>
        </w:rPr>
        <w:t>10、供应商及项目经理：供应商及项目经理须在“陕西省住房和城乡建设厅”可查询且无不良记录</w:t>
      </w:r>
    </w:p>
    <w:p>
      <w:pPr>
        <w:pStyle w:val="null3"/>
      </w:pPr>
      <w:r>
        <w:rPr>
          <w:rFonts w:ascii="仿宋_GB2312" w:hAnsi="仿宋_GB2312" w:cs="仿宋_GB2312" w:eastAsia="仿宋_GB2312"/>
        </w:rPr>
        <w:t>11、中小企业声明函：提供中小企业声明函。（本项目为专门面向中、小、微型企业采购项目）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秦始皇帝陵博物院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西安市临潼区秦陵街办</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029-81399188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采购包1：1,610,000.00元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没有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没有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没有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采购包1保证金金额：24,000.00元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银行账号：86113010750181502001234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代理服务费收费标准：依据成交金额向采购代理机构交纳成交服务费，交费金额参照国家计委颁布的《招标代理服务收费管理暂行办法》（计价格[2002]1980号）及发改办价格[2003]857号文件的规定标准按工程收取。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踏勘时间：2026-07-07 10:00:00</w:t>
            </w:r>
          </w:p>
          <w:p>
            <w:pPr>
              <w:pStyle w:val="null3"/>
              <w:ind w:firstLine="975"/>
            </w:pPr>
            <w:r>
              <w:rPr>
                <w:rFonts w:ascii="仿宋_GB2312" w:hAnsi="仿宋_GB2312" w:cs="仿宋_GB2312" w:eastAsia="仿宋_GB2312"/>
              </w:rPr>
              <w:t>踏勘地点：秦始皇帝陵博物院办公生活区门口，踏勘须携带：已获取磋商文件的回执函；因踏勘位置特殊，参与本次踏勘的投标人须在踏勘前一个工作日将踏勘参与人的姓名、身份证号码、联系方式及公司名称发送至499094051@qq.com邮箱，若未发送信息或信息缺项，会导致无法入场。</w:t>
            </w:r>
          </w:p>
          <w:p>
            <w:pPr>
              <w:pStyle w:val="null3"/>
              <w:ind w:firstLine="975"/>
            </w:pPr>
            <w:r>
              <w:rPr>
                <w:rFonts w:ascii="仿宋_GB2312" w:hAnsi="仿宋_GB2312" w:cs="仿宋_GB2312" w:eastAsia="仿宋_GB2312"/>
              </w:rPr>
              <w:t>联系人：谢婷婷</w:t>
            </w:r>
          </w:p>
          <w:p>
            <w:pPr>
              <w:pStyle w:val="null3"/>
              <w:ind w:firstLine="975"/>
            </w:pPr>
            <w:r>
              <w:rPr>
                <w:rFonts w:ascii="仿宋_GB2312" w:hAnsi="仿宋_GB2312" w:cs="仿宋_GB2312" w:eastAsia="仿宋_GB2312"/>
              </w:rPr>
              <w:t>联系电话号码：029-81206622-832</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秦始皇帝陵博物院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秦始皇帝陵博物院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秦始皇帝陵博物院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2、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3、如采用供应商所不拥有的知识产权，则在报价中必须包括合法使用该知识产权的相关费用。 4、构成本磋商文件的各组成部分，未经采购人书面同意，供应商不得擅自复印或用于非本磋商项目所需的其他目的。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按国家规范标准执行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联系人：谢婷婷、李瑞洁、戈迪</w:t>
      </w:r>
    </w:p>
    <w:p>
      <w:pPr>
        <w:pStyle w:val="null3"/>
      </w:pPr>
      <w:r>
        <w:rPr>
          <w:rFonts w:ascii="仿宋_GB2312" w:hAnsi="仿宋_GB2312" w:cs="仿宋_GB2312" w:eastAsia="仿宋_GB2312"/>
        </w:rPr>
        <w:t>联系电话：029-81206622-832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1,610,000.00</w:t>
      </w:r>
    </w:p>
    <w:p>
      <w:pPr>
        <w:pStyle w:val="null3"/>
      </w:pPr>
      <w:r>
        <w:rPr>
          <w:rFonts w:ascii="仿宋_GB2312" w:hAnsi="仿宋_GB2312" w:cs="仿宋_GB2312" w:eastAsia="仿宋_GB2312"/>
        </w:rPr>
        <w:t>采购包最高限价（元）: 1,412,941.65</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安防智能化升级改造</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1,610,000.00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标的名称：安防智能化升级改造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建设内容：</w:t>
            </w:r>
          </w:p>
          <w:p>
            <w:pPr>
              <w:pStyle w:val="null3"/>
            </w:pPr>
            <w:r>
              <w:rPr>
                <w:rFonts w:ascii="仿宋_GB2312" w:hAnsi="仿宋_GB2312" w:cs="仿宋_GB2312" w:eastAsia="仿宋_GB2312"/>
              </w:rPr>
              <w:t>（</w:t>
            </w:r>
            <w:r>
              <w:rPr>
                <w:rFonts w:ascii="仿宋_GB2312" w:hAnsi="仿宋_GB2312" w:cs="仿宋_GB2312" w:eastAsia="仿宋_GB2312"/>
              </w:rPr>
              <w:t>1）东门出口、二道检票口、西职工通道增加人脸识别摄像机。</w:t>
            </w:r>
          </w:p>
          <w:p>
            <w:pPr>
              <w:pStyle w:val="null3"/>
            </w:pPr>
            <w:r>
              <w:rPr>
                <w:rFonts w:ascii="仿宋_GB2312" w:hAnsi="仿宋_GB2312" w:cs="仿宋_GB2312" w:eastAsia="仿宋_GB2312"/>
              </w:rPr>
              <w:t>（</w:t>
            </w:r>
            <w:r>
              <w:rPr>
                <w:rFonts w:ascii="仿宋_GB2312" w:hAnsi="仿宋_GB2312" w:cs="仿宋_GB2312" w:eastAsia="仿宋_GB2312"/>
              </w:rPr>
              <w:t>2）补充完善一、二、三号坑各个出入口的人脸识别和客流统计。</w:t>
            </w:r>
          </w:p>
          <w:p>
            <w:pPr>
              <w:pStyle w:val="null3"/>
            </w:pPr>
            <w:r>
              <w:rPr>
                <w:rFonts w:ascii="仿宋_GB2312" w:hAnsi="仿宋_GB2312" w:cs="仿宋_GB2312" w:eastAsia="仿宋_GB2312"/>
              </w:rPr>
              <w:t>（</w:t>
            </w:r>
            <w:r>
              <w:rPr>
                <w:rFonts w:ascii="仿宋_GB2312" w:hAnsi="仿宋_GB2312" w:cs="仿宋_GB2312" w:eastAsia="仿宋_GB2312"/>
              </w:rPr>
              <w:t>3）后端智能分析及大模型、存储建设。</w:t>
            </w:r>
          </w:p>
          <w:p>
            <w:pPr>
              <w:pStyle w:val="null3"/>
            </w:pPr>
            <w:r>
              <w:rPr>
                <w:rFonts w:ascii="仿宋_GB2312" w:hAnsi="仿宋_GB2312" w:cs="仿宋_GB2312" w:eastAsia="仿宋_GB2312"/>
              </w:rPr>
              <w:t>（4）一、二、三号坑电源线及信号传输线缆敷设。</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技术要求：</w:t>
            </w:r>
          </w:p>
          <w:p>
            <w:pPr>
              <w:pStyle w:val="null3"/>
            </w:pPr>
            <w:r>
              <w:rPr>
                <w:rFonts w:ascii="仿宋_GB2312" w:hAnsi="仿宋_GB2312" w:cs="仿宋_GB2312" w:eastAsia="仿宋_GB2312"/>
              </w:rPr>
              <w:t>（</w:t>
            </w:r>
            <w:r>
              <w:rPr>
                <w:rFonts w:ascii="仿宋_GB2312" w:hAnsi="仿宋_GB2312" w:cs="仿宋_GB2312" w:eastAsia="仿宋_GB2312"/>
              </w:rPr>
              <w:t>1）升级AI智能系统，强化对观众高频进入场馆、异常行为的实时智能分析能力。对多次频繁进入场馆人员在后台弹窗预警。</w:t>
            </w:r>
          </w:p>
          <w:p>
            <w:pPr>
              <w:pStyle w:val="null3"/>
            </w:pPr>
            <w:r>
              <w:rPr>
                <w:rFonts w:ascii="仿宋_GB2312" w:hAnsi="仿宋_GB2312" w:cs="仿宋_GB2312" w:eastAsia="仿宋_GB2312"/>
              </w:rPr>
              <w:t>（</w:t>
            </w:r>
            <w:r>
              <w:rPr>
                <w:rFonts w:ascii="仿宋_GB2312" w:hAnsi="仿宋_GB2312" w:cs="仿宋_GB2312" w:eastAsia="仿宋_GB2312"/>
              </w:rPr>
              <w:t>2）增加人脸识别系统完成所有出入口人脸识别全覆盖，加强对重点人员的关注及预警，在人脸信息记录后可结合公安人脸库迅速查找重点人员轨迹。</w:t>
            </w:r>
          </w:p>
          <w:p>
            <w:pPr>
              <w:pStyle w:val="null3"/>
            </w:pPr>
            <w:r>
              <w:rPr>
                <w:rFonts w:ascii="仿宋_GB2312" w:hAnsi="仿宋_GB2312" w:cs="仿宋_GB2312" w:eastAsia="仿宋_GB2312"/>
              </w:rPr>
              <w:t>（</w:t>
            </w:r>
            <w:r>
              <w:rPr>
                <w:rFonts w:ascii="仿宋_GB2312" w:hAnsi="仿宋_GB2312" w:cs="仿宋_GB2312" w:eastAsia="仿宋_GB2312"/>
              </w:rPr>
              <w:t>3）增加热成像预警系统，加强 2、3 号坑夜间防护，清场后可通过热成像实现是否有可疑人员藏匿在管内。</w:t>
            </w:r>
          </w:p>
          <w:p>
            <w:pPr>
              <w:pStyle w:val="null3"/>
            </w:pPr>
            <w:r>
              <w:rPr>
                <w:rFonts w:ascii="仿宋_GB2312" w:hAnsi="仿宋_GB2312" w:cs="仿宋_GB2312" w:eastAsia="仿宋_GB2312"/>
              </w:rPr>
              <w:t>（</w:t>
            </w:r>
            <w:r>
              <w:rPr>
                <w:rFonts w:ascii="仿宋_GB2312" w:hAnsi="仿宋_GB2312" w:cs="仿宋_GB2312" w:eastAsia="仿宋_GB2312"/>
              </w:rPr>
              <w:t>4）增加客流分析系统，便于大客流期间快速科学地采取分流疏散、错峰、限流、预警等应对措施;增加大模型文搜系统,提升找人找物工作效率，确保观众人身财产安全。</w:t>
            </w:r>
          </w:p>
          <w:p>
            <w:pPr>
              <w:pStyle w:val="null3"/>
            </w:pPr>
            <w:r>
              <w:rPr>
                <w:rFonts w:ascii="仿宋_GB2312" w:hAnsi="仿宋_GB2312" w:cs="仿宋_GB2312" w:eastAsia="仿宋_GB2312"/>
              </w:rPr>
              <w:t>（5）建成后有利于提高秦始皇帝陵博物院馆区文物保护的安全防范等级，提高文物保卫部门管理水平和工作效率，对可能发生的文物犯罪起到提前预警的作用，可对重点人员行为轨迹追踪，对频繁进出同一展厅的人员标记，进行重点监控。根据客流统计数据规划参数放行人数，分流参观，避免造成不必要的人员拥挤。</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三、承建单位须严格按照设计要求和技术规范进行施工，确保系统稳定性和设备兼容性，落实现场安全管理责任，配合院方完成人员操作培训及后期维护工作，保障项目验收合格后高效投入运行。</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四、其他要求：</w:t>
            </w:r>
          </w:p>
          <w:p>
            <w:pPr>
              <w:pStyle w:val="null3"/>
            </w:pPr>
            <w:r>
              <w:rPr>
                <w:rFonts w:ascii="仿宋_GB2312" w:hAnsi="仿宋_GB2312" w:cs="仿宋_GB2312" w:eastAsia="仿宋_GB2312"/>
              </w:rPr>
              <w:t>（1）项目实施要求：中标方应建立专门项目团队负责本项目的施工、调试等建设工作，施工中需要对文物保护做出相应措施。项目团队人员配置科学合理、分工明确，中标方需按照磋商文件要求内容划分项目阶段人员分配情况，包括项目启动阶段、项目调研阶段，项目实施阶段，软件部署阶段、产品试运行阶段，项目验收阶段，并制定项目人员安排计划，明确岗位职责，并按计划实施。</w:t>
            </w:r>
          </w:p>
          <w:p>
            <w:pPr>
              <w:pStyle w:val="null3"/>
            </w:pPr>
            <w:r>
              <w:rPr>
                <w:rFonts w:ascii="仿宋_GB2312" w:hAnsi="仿宋_GB2312" w:cs="仿宋_GB2312" w:eastAsia="仿宋_GB2312"/>
              </w:rPr>
              <w:t>（2）进度要求：本次项目自接甲方项目单位通知之日起30个日历日内完全交付用户试运行，试运行15天后进行初步验收。解决初验相关问题及完成后续全部施工工作后进行终验。</w:t>
            </w:r>
          </w:p>
          <w:p>
            <w:pPr>
              <w:pStyle w:val="null3"/>
            </w:pPr>
            <w:r>
              <w:rPr>
                <w:rFonts w:ascii="仿宋_GB2312" w:hAnsi="仿宋_GB2312" w:cs="仿宋_GB2312" w:eastAsia="仿宋_GB2312"/>
              </w:rPr>
              <w:t>（3）培训要求：系统建成后承建方需对博物院相关负责人进行软件功能培训、日常使用培训、常见故障排除培训等。培训后的人员应能熟练操作、维护和正常使用，并能排除一般故障。培训的具体日期及人数由使用单位确定。</w:t>
            </w:r>
          </w:p>
          <w:p>
            <w:pPr>
              <w:pStyle w:val="null3"/>
            </w:pPr>
            <w:r>
              <w:rPr>
                <w:rFonts w:ascii="仿宋_GB2312" w:hAnsi="仿宋_GB2312" w:cs="仿宋_GB2312" w:eastAsia="仿宋_GB2312"/>
              </w:rPr>
              <w:t>（4）售后要求：项目验收之日起，提供至少2年技术支持与售后服务（包含所涉及的所有软件系统平台的免费升级）。服务期内提供7*24时故障响应，响应时间不得超过2小时。</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0"/>
                <w:b/>
              </w:rPr>
              <w:t>五、主要设备参数：</w:t>
            </w:r>
          </w:p>
          <w:p>
            <w:pPr>
              <w:pStyle w:val="null3"/>
              <w:jc w:val="left"/>
            </w:pPr>
            <w:r>
              <w:rPr>
                <w:rFonts w:ascii="仿宋_GB2312" w:hAnsi="仿宋_GB2312" w:cs="仿宋_GB2312" w:eastAsia="仿宋_GB2312"/>
                <w:sz w:val="20"/>
                <w:b/>
              </w:rPr>
              <w:t>1、人脸识别摄像机（58台）：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1）焦距&amp;视场角：8</w:t>
            </w:r>
            <w:r>
              <w:rPr>
                <w:rFonts w:ascii="仿宋_GB2312" w:hAnsi="仿宋_GB2312" w:cs="仿宋_GB2312" w:eastAsia="仿宋_GB2312"/>
                <w:sz w:val="20"/>
              </w:rPr>
              <w:t>~</w:t>
            </w:r>
            <w:r>
              <w:rPr>
                <w:rFonts w:ascii="仿宋_GB2312" w:hAnsi="仿宋_GB2312" w:cs="仿宋_GB2312" w:eastAsia="仿宋_GB2312"/>
                <w:sz w:val="20"/>
              </w:rPr>
              <w:t>32 mm：水平视场角：42°</w:t>
            </w:r>
            <w:r>
              <w:rPr>
                <w:rFonts w:ascii="仿宋_GB2312" w:hAnsi="仿宋_GB2312" w:cs="仿宋_GB2312" w:eastAsia="仿宋_GB2312"/>
                <w:sz w:val="20"/>
              </w:rPr>
              <w:t>~</w:t>
            </w:r>
            <w:r>
              <w:rPr>
                <w:rFonts w:ascii="仿宋_GB2312" w:hAnsi="仿宋_GB2312" w:cs="仿宋_GB2312" w:eastAsia="仿宋_GB2312"/>
                <w:sz w:val="20"/>
              </w:rPr>
              <w:t>16°，垂直视场角：23°</w:t>
            </w:r>
            <w:r>
              <w:rPr>
                <w:rFonts w:ascii="仿宋_GB2312" w:hAnsi="仿宋_GB2312" w:cs="仿宋_GB2312" w:eastAsia="仿宋_GB2312"/>
                <w:sz w:val="20"/>
              </w:rPr>
              <w:t>~</w:t>
            </w:r>
            <w:r>
              <w:rPr>
                <w:rFonts w:ascii="仿宋_GB2312" w:hAnsi="仿宋_GB2312" w:cs="仿宋_GB2312" w:eastAsia="仿宋_GB2312"/>
                <w:sz w:val="20"/>
              </w:rPr>
              <w:t>9</w:t>
            </w:r>
            <w:r>
              <w:rPr>
                <w:rFonts w:ascii="仿宋_GB2312" w:hAnsi="仿宋_GB2312" w:cs="仿宋_GB2312" w:eastAsia="仿宋_GB2312"/>
                <w:sz w:val="20"/>
              </w:rPr>
              <w:t>°，对角视场角：49°</w:t>
            </w:r>
            <w:r>
              <w:rPr>
                <w:rFonts w:ascii="仿宋_GB2312" w:hAnsi="仿宋_GB2312" w:cs="仿宋_GB2312" w:eastAsia="仿宋_GB2312"/>
                <w:sz w:val="20"/>
              </w:rPr>
              <w:t>~</w:t>
            </w:r>
            <w:r>
              <w:rPr>
                <w:rFonts w:ascii="仿宋_GB2312" w:hAnsi="仿宋_GB2312" w:cs="仿宋_GB2312" w:eastAsia="仿宋_GB2312"/>
                <w:sz w:val="20"/>
              </w:rPr>
              <w:t>18° 。</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2）补光距离：混光普通监控：≥80m，人脸抓拍/识别：≥10m；白光普通监控：≥50m，人脸抓拍/识别：≥7m。</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3）补光灯类型：鳞镜补光，混光（850nm+暖白），4颗灯珠 。</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4）图像尺寸：≥2688×1520。防护：IP67。</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5）支持多种智能模式：全结构化（默认）、人脸抓拍、人脸比对、道路监控、人数统计。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6）最高分辨率可达400万像素，并在此分辨率下可输出30fps实时图像，支持透雾、电子防抖，支持宽动态。</w:t>
            </w:r>
          </w:p>
          <w:p>
            <w:pPr>
              <w:pStyle w:val="null3"/>
            </w:pPr>
            <w:r>
              <w:rPr>
                <w:rFonts w:ascii="仿宋_GB2312" w:hAnsi="仿宋_GB2312" w:cs="仿宋_GB2312" w:eastAsia="仿宋_GB2312"/>
                <w:sz w:val="20"/>
                <w:b/>
              </w:rPr>
              <w:t>2、热成像摄像机（4台）：</w:t>
            </w:r>
          </w:p>
          <w:p>
            <w:pPr>
              <w:pStyle w:val="null3"/>
              <w:jc w:val="left"/>
            </w:pPr>
            <w:r>
              <w:rPr>
                <w:rFonts w:ascii="仿宋_GB2312" w:hAnsi="仿宋_GB2312" w:cs="仿宋_GB2312" w:eastAsia="仿宋_GB2312"/>
                <w:sz w:val="20"/>
              </w:rPr>
              <w:t>1、人员最远报警距离（以1.8米*0.5米为准）：100m；</w:t>
            </w:r>
          </w:p>
          <w:p>
            <w:pPr>
              <w:pStyle w:val="null3"/>
              <w:jc w:val="left"/>
            </w:pPr>
            <w:r>
              <w:rPr>
                <w:rFonts w:ascii="仿宋_GB2312" w:hAnsi="仿宋_GB2312" w:cs="仿宋_GB2312" w:eastAsia="仿宋_GB2312"/>
                <w:sz w:val="20"/>
              </w:rPr>
              <w:t>2、车辆最远报警距离（以4米*1.4米为准）：300m ；</w:t>
            </w:r>
          </w:p>
          <w:p>
            <w:pPr>
              <w:pStyle w:val="null3"/>
              <w:jc w:val="left"/>
            </w:pPr>
            <w:r>
              <w:rPr>
                <w:rFonts w:ascii="仿宋_GB2312" w:hAnsi="仿宋_GB2312" w:cs="仿宋_GB2312" w:eastAsia="仿宋_GB2312"/>
                <w:sz w:val="20"/>
              </w:rPr>
              <w:t>3、热成像分辨率：</w:t>
            </w:r>
            <w:r>
              <w:rPr>
                <w:rFonts w:ascii="仿宋_GB2312" w:hAnsi="仿宋_GB2312" w:cs="仿宋_GB2312" w:eastAsia="仿宋_GB2312"/>
                <w:sz w:val="20"/>
              </w:rPr>
              <w:t>≥</w:t>
            </w:r>
            <w:r>
              <w:rPr>
                <w:rFonts w:ascii="仿宋_GB2312" w:hAnsi="仿宋_GB2312" w:cs="仿宋_GB2312" w:eastAsia="仿宋_GB2312"/>
                <w:sz w:val="20"/>
              </w:rPr>
              <w:t>256×192；</w:t>
            </w:r>
          </w:p>
          <w:p>
            <w:pPr>
              <w:pStyle w:val="null3"/>
              <w:jc w:val="left"/>
            </w:pPr>
            <w:r>
              <w:rPr>
                <w:rFonts w:ascii="仿宋_GB2312" w:hAnsi="仿宋_GB2312" w:cs="仿宋_GB2312" w:eastAsia="仿宋_GB2312"/>
                <w:sz w:val="20"/>
              </w:rPr>
              <w:t>4、可见光分辨率：2688×1520，400万实时高清；</w:t>
            </w:r>
          </w:p>
          <w:p>
            <w:pPr>
              <w:pStyle w:val="null3"/>
              <w:jc w:val="left"/>
            </w:pPr>
            <w:r>
              <w:rPr>
                <w:rFonts w:ascii="仿宋_GB2312" w:hAnsi="仿宋_GB2312" w:cs="仿宋_GB2312" w:eastAsia="仿宋_GB2312"/>
                <w:sz w:val="20"/>
              </w:rPr>
              <w:t>5、可见光焦距：4.8-153mm，光学变倍32倍 ；</w:t>
            </w:r>
          </w:p>
          <w:p>
            <w:pPr>
              <w:pStyle w:val="null3"/>
              <w:jc w:val="left"/>
            </w:pPr>
            <w:r>
              <w:rPr>
                <w:rFonts w:ascii="仿宋_GB2312" w:hAnsi="仿宋_GB2312" w:cs="仿宋_GB2312" w:eastAsia="仿宋_GB2312"/>
                <w:sz w:val="20"/>
              </w:rPr>
              <w:t>6、可见光透雾：支持算法透雾；</w:t>
            </w:r>
          </w:p>
          <w:p>
            <w:pPr>
              <w:pStyle w:val="null3"/>
              <w:jc w:val="left"/>
            </w:pPr>
            <w:r>
              <w:rPr>
                <w:rFonts w:ascii="仿宋_GB2312" w:hAnsi="仿宋_GB2312" w:cs="仿宋_GB2312" w:eastAsia="仿宋_GB2312"/>
                <w:sz w:val="20"/>
              </w:rPr>
              <w:t>7、可见光视场角：58°(H) 34°(V)~2.2°(H)1.3°(V) ；</w:t>
            </w:r>
          </w:p>
          <w:p>
            <w:pPr>
              <w:pStyle w:val="null3"/>
              <w:jc w:val="left"/>
            </w:pPr>
            <w:r>
              <w:rPr>
                <w:rFonts w:ascii="仿宋_GB2312" w:hAnsi="仿宋_GB2312" w:cs="仿宋_GB2312" w:eastAsia="仿宋_GB2312"/>
                <w:sz w:val="20"/>
              </w:rPr>
              <w:t>8、可见光防抖功能：支持EIS陀螺仪防抖 ；</w:t>
            </w:r>
          </w:p>
          <w:p>
            <w:pPr>
              <w:pStyle w:val="null3"/>
              <w:jc w:val="left"/>
            </w:pPr>
            <w:r>
              <w:rPr>
                <w:rFonts w:ascii="仿宋_GB2312" w:hAnsi="仿宋_GB2312" w:cs="仿宋_GB2312" w:eastAsia="仿宋_GB2312"/>
                <w:sz w:val="20"/>
              </w:rPr>
              <w:t>9、水平范围：360°连续旋转；</w:t>
            </w:r>
          </w:p>
          <w:p>
            <w:pPr>
              <w:pStyle w:val="null3"/>
              <w:jc w:val="left"/>
            </w:pPr>
            <w:r>
              <w:rPr>
                <w:rFonts w:ascii="仿宋_GB2312" w:hAnsi="仿宋_GB2312" w:cs="仿宋_GB2312" w:eastAsia="仿宋_GB2312"/>
                <w:sz w:val="20"/>
              </w:rPr>
              <w:t>10、垂直范围：-20°~90°；</w:t>
            </w:r>
          </w:p>
          <w:p>
            <w:pPr>
              <w:pStyle w:val="null3"/>
              <w:jc w:val="left"/>
            </w:pPr>
            <w:r>
              <w:rPr>
                <w:rFonts w:ascii="仿宋_GB2312" w:hAnsi="仿宋_GB2312" w:cs="仿宋_GB2312" w:eastAsia="仿宋_GB2312"/>
                <w:sz w:val="20"/>
              </w:rPr>
              <w:t>11、防护等级：IP66，TVS 6000V 防雷、防浪涌、防突波，符合GB/T17626.5 四级标准；</w:t>
            </w:r>
          </w:p>
          <w:p>
            <w:pPr>
              <w:pStyle w:val="null3"/>
              <w:jc w:val="left"/>
            </w:pPr>
            <w:r>
              <w:rPr>
                <w:rFonts w:ascii="仿宋_GB2312" w:hAnsi="仿宋_GB2312" w:cs="仿宋_GB2312" w:eastAsia="仿宋_GB2312"/>
                <w:sz w:val="20"/>
                <w:b/>
              </w:rPr>
              <w:t>3、垂直双目客流（5台）：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1）焦距&amp;视场角：2.0mm @F2.25，水平视场角：≥102°，垂直视场角：≥70°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2）补光灯类型：红外灯，补光距离：最远可达6m，红外波长范围：830nm</w:t>
            </w:r>
            <w:r>
              <w:rPr>
                <w:rFonts w:ascii="仿宋_GB2312" w:hAnsi="仿宋_GB2312" w:cs="仿宋_GB2312" w:eastAsia="仿宋_GB2312"/>
                <w:sz w:val="20"/>
              </w:rPr>
              <w:t>~</w:t>
            </w:r>
            <w:r>
              <w:rPr>
                <w:rFonts w:ascii="仿宋_GB2312" w:hAnsi="仿宋_GB2312" w:cs="仿宋_GB2312" w:eastAsia="仿宋_GB2312"/>
                <w:sz w:val="20"/>
              </w:rPr>
              <w:t>850 nm。支持防补光过曝，</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3）最大图像尺寸：≥2560×1440。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4）供电方式：DC：12 V±20%；支持防反接保护，PoE：36 V</w:t>
            </w:r>
            <w:r>
              <w:rPr>
                <w:rFonts w:ascii="仿宋_GB2312" w:hAnsi="仿宋_GB2312" w:cs="仿宋_GB2312" w:eastAsia="仿宋_GB2312"/>
                <w:sz w:val="20"/>
              </w:rPr>
              <w:t>~</w:t>
            </w:r>
            <w:r>
              <w:rPr>
                <w:rFonts w:ascii="仿宋_GB2312" w:hAnsi="仿宋_GB2312" w:cs="仿宋_GB2312" w:eastAsia="仿宋_GB2312"/>
                <w:sz w:val="20"/>
              </w:rPr>
              <w:t>57 V，802.3af，Class 3。</w:t>
            </w:r>
          </w:p>
          <w:p>
            <w:pPr>
              <w:pStyle w:val="null3"/>
              <w:jc w:val="left"/>
            </w:pPr>
            <w:r>
              <w:rPr>
                <w:rFonts w:ascii="仿宋_GB2312" w:hAnsi="仿宋_GB2312" w:cs="仿宋_GB2312" w:eastAsia="仿宋_GB2312"/>
                <w:sz w:val="20"/>
                <w:b/>
              </w:rPr>
              <w:t>4、视频分析主机（1台）：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1）支持接入≥128路视频分析，支持大模型以文搜图算法、人脸算法和结构化算法并行分析。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2）大模型以文搜图算法</w:t>
            </w:r>
          </w:p>
          <w:p>
            <w:pPr>
              <w:pStyle w:val="null3"/>
              <w:ind w:firstLine="400"/>
              <w:jc w:val="left"/>
            </w:pPr>
            <w:r>
              <w:rPr>
                <w:rFonts w:ascii="仿宋_GB2312" w:hAnsi="仿宋_GB2312" w:cs="仿宋_GB2312" w:eastAsia="仿宋_GB2312"/>
                <w:sz w:val="20"/>
              </w:rPr>
              <w:t>实时视频流</w:t>
            </w:r>
            <w:r>
              <w:rPr>
                <w:rFonts w:ascii="仿宋_GB2312" w:hAnsi="仿宋_GB2312" w:cs="仿宋_GB2312" w:eastAsia="仿宋_GB2312"/>
                <w:sz w:val="20"/>
              </w:rPr>
              <w:t>/历史视频流：≥支持128路分析（视频流）</w:t>
            </w:r>
          </w:p>
          <w:p>
            <w:pPr>
              <w:pStyle w:val="null3"/>
              <w:ind w:firstLine="400"/>
              <w:jc w:val="left"/>
            </w:pPr>
            <w:r>
              <w:rPr>
                <w:rFonts w:ascii="仿宋_GB2312" w:hAnsi="仿宋_GB2312" w:cs="仿宋_GB2312" w:eastAsia="仿宋_GB2312"/>
                <w:sz w:val="20"/>
              </w:rPr>
              <w:t>图片流：建模性能</w:t>
            </w:r>
            <w:r>
              <w:rPr>
                <w:rFonts w:ascii="仿宋_GB2312" w:hAnsi="仿宋_GB2312" w:cs="仿宋_GB2312" w:eastAsia="仿宋_GB2312"/>
                <w:sz w:val="20"/>
              </w:rPr>
              <w:t>≥40张/秒（目标小图或 2MP大图+坐标）。</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人脸算法，人脸应用：支持目标抓拍、比对报警，以图搜图、属性检索，高频报警，1V1比对，人员档案实时视频流/历史视频流：支持≥128路分析（2MP视频流），图片流：整机支持≥128张/秒（建模+比对+聚类）。</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4）结构化算法，结构化应用：支持人体/车辆/非机动车抓拍、建模，以图搜图、属性检索，实时视频流/历史视频流：支持≥128路分析（2MP视频流）。</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5）CPU：≥2颗64位多核处理器，GPU：≥3张GPU卡，系统内存：≥128GB DDR4内存，系统盘：≥2×240GB SSD，数据盘：≥1×480GB SSD，≥1× 4TB SATA盘，≥3× 8TB SATA盘，网络接口：≥2×千兆电口</w:t>
            </w:r>
          </w:p>
          <w:p>
            <w:pPr>
              <w:pStyle w:val="null3"/>
              <w:jc w:val="left"/>
            </w:pPr>
            <w:r>
              <w:rPr>
                <w:rFonts w:ascii="仿宋_GB2312" w:hAnsi="仿宋_GB2312" w:cs="仿宋_GB2312" w:eastAsia="仿宋_GB2312"/>
                <w:sz w:val="20"/>
                <w:b/>
              </w:rPr>
              <w:t>5、行为分析服务器（1台）：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1）包含但不限于人、车、行为、事件、AIOP 等多种AI算法。</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2）人脸识别：人脸抓拍+人脸比对</w:t>
            </w:r>
            <w:r>
              <w:rPr>
                <w:rFonts w:ascii="仿宋_GB2312" w:hAnsi="仿宋_GB2312" w:cs="仿宋_GB2312" w:eastAsia="仿宋_GB2312"/>
                <w:sz w:val="24"/>
              </w:rPr>
              <w:t>+</w:t>
            </w:r>
            <w:r>
              <w:rPr>
                <w:rFonts w:ascii="仿宋_GB2312" w:hAnsi="仿宋_GB2312" w:cs="仿宋_GB2312" w:eastAsia="仿宋_GB2312"/>
                <w:sz w:val="20"/>
              </w:rPr>
              <w:t>人脸跟踪，人数统计：倾斜客流统计</w:t>
            </w:r>
            <w:r>
              <w:rPr>
                <w:rFonts w:ascii="仿宋_GB2312" w:hAnsi="仿宋_GB2312" w:cs="仿宋_GB2312" w:eastAsia="仿宋_GB2312"/>
                <w:sz w:val="20"/>
              </w:rPr>
              <w:t>+区域人数统计。</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3）支持安全帽、反光衣、岗位行为、抽烟、打电话、街面行为、周界防范等行为分析。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4）设备内置≥6颗GPU。</w:t>
            </w:r>
          </w:p>
          <w:p>
            <w:pPr>
              <w:pStyle w:val="null3"/>
              <w:jc w:val="left"/>
            </w:pPr>
            <w:r>
              <w:rPr>
                <w:rFonts w:ascii="仿宋_GB2312" w:hAnsi="仿宋_GB2312" w:cs="仿宋_GB2312" w:eastAsia="仿宋_GB2312"/>
                <w:sz w:val="20"/>
                <w:b/>
              </w:rPr>
              <w:t>6、磁盘阵列（1台）：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1）≥48盘位机架式网络存储设备，64位多核处理器，1+1冗余电源。</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2）系统内存：≥8GB（可扩展至64GB），系统盘：≥1×240GB SSD（后置）</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3）存储接口：≥48个SATA接口，支持硬盘热插拔，可满配4TB/6TB/8TB/10TB/16TB硬盘</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4）网络接口：≥4个2.5G数据网口，≥1个千兆管理口</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5）支持VRAID、RAID0、1、5、6、10等多种RAID模式，支持RAID降级可读写(VRAID)，支持全局热备(RAID0、1、5、6、10)。</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6）至少含38块12T企业级硬盘</w:t>
            </w:r>
          </w:p>
          <w:p>
            <w:pPr>
              <w:pStyle w:val="null3"/>
              <w:jc w:val="left"/>
            </w:pPr>
            <w:r>
              <w:rPr>
                <w:rFonts w:ascii="仿宋_GB2312" w:hAnsi="仿宋_GB2312" w:cs="仿宋_GB2312" w:eastAsia="仿宋_GB2312"/>
                <w:sz w:val="20"/>
                <w:b/>
              </w:rPr>
              <w:t>7、16口POE交换机（12台）：</w:t>
            </w:r>
          </w:p>
          <w:p>
            <w:pPr>
              <w:pStyle w:val="null3"/>
              <w:jc w:val="left"/>
            </w:pPr>
            <w:r>
              <w:rPr>
                <w:rFonts w:ascii="仿宋_GB2312" w:hAnsi="仿宋_GB2312" w:cs="仿宋_GB2312" w:eastAsia="仿宋_GB2312"/>
                <w:sz w:val="20"/>
              </w:rPr>
              <w:t>千兆无管理</w:t>
            </w:r>
            <w:r>
              <w:rPr>
                <w:rFonts w:ascii="仿宋_GB2312" w:hAnsi="仿宋_GB2312" w:cs="仿宋_GB2312" w:eastAsia="仿宋_GB2312"/>
                <w:sz w:val="20"/>
              </w:rPr>
              <w:t>POE交换机,包转发率≥26Mpps,交换容≥36Gbps,≥16个千兆电口,≥2个千兆光口,MAC:8K,1U标准机架款,金属外壳,支持POE+,输出功率≥</w:t>
            </w:r>
            <w:r>
              <w:rPr>
                <w:rFonts w:ascii="仿宋_GB2312" w:hAnsi="仿宋_GB2312" w:cs="仿宋_GB2312" w:eastAsia="仿宋_GB2312"/>
                <w:sz w:val="20"/>
              </w:rPr>
              <w:t>24</w:t>
            </w:r>
            <w:r>
              <w:rPr>
                <w:rFonts w:ascii="仿宋_GB2312" w:hAnsi="仿宋_GB2312" w:cs="仿宋_GB2312" w:eastAsia="仿宋_GB2312"/>
                <w:sz w:val="20"/>
              </w:rPr>
              <w:t>0W。</w:t>
            </w:r>
          </w:p>
          <w:p>
            <w:pPr>
              <w:pStyle w:val="null3"/>
              <w:jc w:val="left"/>
            </w:pPr>
            <w:r>
              <w:rPr>
                <w:rFonts w:ascii="仿宋_GB2312" w:hAnsi="仿宋_GB2312" w:cs="仿宋_GB2312" w:eastAsia="仿宋_GB2312"/>
                <w:sz w:val="20"/>
                <w:b/>
              </w:rPr>
              <w:t>8、24口交换机（1台）：</w:t>
            </w:r>
          </w:p>
          <w:p>
            <w:pPr>
              <w:pStyle w:val="null3"/>
              <w:jc w:val="left"/>
            </w:pPr>
            <w:r>
              <w:rPr>
                <w:rFonts w:ascii="仿宋_GB2312" w:hAnsi="仿宋_GB2312" w:cs="仿宋_GB2312" w:eastAsia="仿宋_GB2312"/>
                <w:sz w:val="20"/>
              </w:rPr>
              <w:t>≥(24个千兆SFP,≥8个10/100/1000BASE-T以太网端口,≥4个万兆SFP+,交流供电,前维护)，交换容量432Gbps/4.32Tbps，包转发率≥120/138Mpps。</w:t>
            </w:r>
          </w:p>
          <w:p>
            <w:pPr>
              <w:pStyle w:val="null3"/>
              <w:jc w:val="left"/>
            </w:pPr>
            <w:r>
              <w:rPr>
                <w:rFonts w:ascii="仿宋_GB2312" w:hAnsi="仿宋_GB2312" w:cs="仿宋_GB2312" w:eastAsia="仿宋_GB2312"/>
                <w:sz w:val="20"/>
                <w:b/>
              </w:rPr>
              <w:t>9、UPS主机（1台）：</w:t>
            </w:r>
          </w:p>
          <w:p>
            <w:pPr>
              <w:pStyle w:val="null3"/>
            </w:pPr>
            <w:r>
              <w:rPr>
                <w:rFonts w:ascii="仿宋_GB2312" w:hAnsi="仿宋_GB2312" w:cs="仿宋_GB2312" w:eastAsia="仿宋_GB2312"/>
                <w:sz w:val="20"/>
              </w:rPr>
              <w:t>容量：</w:t>
            </w:r>
            <w:r>
              <w:rPr>
                <w:rFonts w:ascii="仿宋_GB2312" w:hAnsi="仿宋_GB2312" w:cs="仿宋_GB2312" w:eastAsia="仿宋_GB2312"/>
                <w:sz w:val="20"/>
              </w:rPr>
              <w:t>≥10KVA，单进单出，输入功率因数≥0.95，输出功率因数≥0.9。峰值比3:1，配置5A大功率充电器，电池电压192VDC-288VDC，通信方式RS232\SNMP卡。电池要求：可配置1~4组电池、电池容量12V38AH~12V200AH、电压：直流≥192V。</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left"/>
            </w:pPr>
            <w:r>
              <w:rPr>
                <w:rFonts w:ascii="仿宋_GB2312" w:hAnsi="仿宋_GB2312" w:cs="仿宋_GB2312" w:eastAsia="仿宋_GB2312"/>
                <w:sz w:val="20"/>
              </w:rPr>
              <w:t>六、工程量清单编制依据：</w:t>
            </w:r>
          </w:p>
          <w:p>
            <w:pPr>
              <w:pStyle w:val="null3"/>
              <w:jc w:val="left"/>
            </w:pPr>
            <w:r>
              <w:rPr>
                <w:rFonts w:ascii="仿宋_GB2312" w:hAnsi="仿宋_GB2312" w:cs="仿宋_GB2312" w:eastAsia="仿宋_GB2312"/>
                <w:sz w:val="20"/>
              </w:rPr>
              <w:t>1、陕西省工程建设标准《建设工程工程量清单计价标准》(DB 61/T5126-2025)、陕西省工程建设标准《房屋建筑与装饰工程工程量计算标准》(DB 61/T5129-2025)、陕西省工程建设标准《通用安装工程工程量计算标准》(DB 61/T5130-2025)；</w:t>
            </w:r>
          </w:p>
          <w:p>
            <w:pPr>
              <w:pStyle w:val="null3"/>
              <w:jc w:val="left"/>
            </w:pPr>
            <w:r>
              <w:rPr>
                <w:rFonts w:ascii="仿宋_GB2312" w:hAnsi="仿宋_GB2312" w:cs="仿宋_GB2312" w:eastAsia="仿宋_GB2312"/>
                <w:sz w:val="20"/>
              </w:rPr>
              <w:t>2、秦始皇帝陵博物院安防智能化升级改造施工图纸、图纸答疑回复等资料；</w:t>
            </w:r>
          </w:p>
          <w:p>
            <w:pPr>
              <w:pStyle w:val="null3"/>
              <w:jc w:val="left"/>
            </w:pPr>
            <w:r>
              <w:rPr>
                <w:rFonts w:ascii="仿宋_GB2312" w:hAnsi="仿宋_GB2312" w:cs="仿宋_GB2312" w:eastAsia="仿宋_GB2312"/>
                <w:sz w:val="20"/>
              </w:rPr>
              <w:t>3、与建设工程项目有关的标准、规范、图集、技术资料；</w:t>
            </w:r>
          </w:p>
          <w:p>
            <w:pPr>
              <w:pStyle w:val="null3"/>
              <w:jc w:val="left"/>
            </w:pPr>
            <w:r>
              <w:rPr>
                <w:rFonts w:ascii="仿宋_GB2312" w:hAnsi="仿宋_GB2312" w:cs="仿宋_GB2312" w:eastAsia="仿宋_GB2312"/>
                <w:sz w:val="20"/>
              </w:rPr>
              <w:t>4、施工现场情况、工程特点及常规施工方案；</w:t>
            </w:r>
          </w:p>
          <w:p>
            <w:pPr>
              <w:pStyle w:val="null3"/>
            </w:pPr>
            <w:r>
              <w:rPr>
                <w:rFonts w:ascii="仿宋_GB2312" w:hAnsi="仿宋_GB2312" w:cs="仿宋_GB2312" w:eastAsia="仿宋_GB2312"/>
                <w:sz w:val="20"/>
              </w:rPr>
              <w:t>5、本项目使用广联达云计价平台编制，软件版本号: GCCP7.0（7.5000.23.2）。</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rPr>
              <w:t>七、工程量清单：见附件</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 </w:t>
            </w:r>
          </w:p>
          <w:tbl>
            <w:tblPr>
              <w:tblInd w:type="dxa" w:w="120"/>
              <w:tblBorders>
                <w:top w:val="none" w:color="000000" w:sz="4"/>
                <w:left w:val="none" w:color="000000" w:sz="4"/>
                <w:bottom w:val="none" w:color="000000" w:sz="4"/>
                <w:right w:val="none" w:color="000000" w:sz="4"/>
                <w:insideH w:val="none"/>
                <w:insideV w:val="none"/>
              </w:tblBorders>
            </w:tblPr>
            <w:tblGrid>
              <w:gridCol w:w="377"/>
              <w:gridCol w:w="475"/>
              <w:gridCol w:w="1700"/>
            </w:tblGrid>
            <w:tr>
              <w:tc>
                <w:tcPr>
                  <w:tcW w:type="dxa" w:w="3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序号</w:t>
                  </w:r>
                </w:p>
              </w:tc>
              <w:tc>
                <w:tcPr>
                  <w:tcW w:type="dxa" w:w="2175"/>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项目要求</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1</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付款</w:t>
                  </w:r>
                  <w:r>
                    <w:rPr>
                      <w:rFonts w:ascii="仿宋_GB2312" w:hAnsi="仿宋_GB2312" w:cs="仿宋_GB2312" w:eastAsia="仿宋_GB2312"/>
                      <w:sz w:val="19"/>
                    </w:rPr>
                    <w:t>方式</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1、付款方式</w:t>
                  </w:r>
                </w:p>
                <w:p>
                  <w:pPr>
                    <w:pStyle w:val="null3"/>
                  </w:pPr>
                  <w:r>
                    <w:rPr>
                      <w:rFonts w:ascii="仿宋_GB2312" w:hAnsi="仿宋_GB2312" w:cs="仿宋_GB2312" w:eastAsia="仿宋_GB2312"/>
                      <w:sz w:val="19"/>
                    </w:rPr>
                    <w:t>1、预付款，合同签订后、开工前，达到付款条件起5个工作日内，支付合同总金额的40.0%</w:t>
                  </w:r>
                  <w:r>
                    <w:br/>
                  </w:r>
                  <w:r>
                    <w:rPr>
                      <w:rFonts w:ascii="仿宋_GB2312" w:hAnsi="仿宋_GB2312" w:cs="仿宋_GB2312" w:eastAsia="仿宋_GB2312"/>
                      <w:sz w:val="19"/>
                    </w:rPr>
                    <w:t xml:space="preserve"> 2、进度款，主要设备(以最终签订的合同为准)进场、安装、调试后，达到付款条件起5个工作日内，支付合同总金额的45.0%</w:t>
                  </w:r>
                  <w:r>
                    <w:br/>
                  </w:r>
                  <w:r>
                    <w:rPr>
                      <w:rFonts w:ascii="仿宋_GB2312" w:hAnsi="仿宋_GB2312" w:cs="仿宋_GB2312" w:eastAsia="仿宋_GB2312"/>
                      <w:sz w:val="19"/>
                    </w:rPr>
                    <w:t xml:space="preserve"> 3、进度款，工程完工，系统经终验合格后(提供全部项目资料》，审计工作结束后，达到付款条件起5个工作日内，支付合同总金额的12.0%</w:t>
                  </w:r>
                  <w:r>
                    <w:br/>
                  </w:r>
                  <w:r>
                    <w:rPr>
                      <w:rFonts w:ascii="仿宋_GB2312" w:hAnsi="仿宋_GB2312" w:cs="仿宋_GB2312" w:eastAsia="仿宋_GB2312"/>
                      <w:sz w:val="19"/>
                    </w:rPr>
                    <w:t xml:space="preserve"> 4、其他，质保期2年，预留审计金额的3%作为质保金，2年后支付，达到付款条件起5个工作日内，支付合同总金额的3.0%</w:t>
                  </w:r>
                </w:p>
                <w:p>
                  <w:pPr>
                    <w:pStyle w:val="null3"/>
                  </w:pPr>
                  <w:r>
                    <w:rPr>
                      <w:rFonts w:ascii="仿宋_GB2312" w:hAnsi="仿宋_GB2312" w:cs="仿宋_GB2312" w:eastAsia="仿宋_GB2312"/>
                      <w:sz w:val="19"/>
                    </w:rPr>
                    <w:t>2、本项目采用固定综合单价合同。</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项目完工期</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合同签订之日起</w:t>
                  </w:r>
                  <w:r>
                    <w:rPr>
                      <w:rFonts w:ascii="仿宋_GB2312" w:hAnsi="仿宋_GB2312" w:cs="仿宋_GB2312" w:eastAsia="仿宋_GB2312"/>
                      <w:sz w:val="19"/>
                    </w:rPr>
                    <w:t>45</w:t>
                  </w:r>
                  <w:r>
                    <w:rPr>
                      <w:rFonts w:ascii="仿宋_GB2312" w:hAnsi="仿宋_GB2312" w:cs="仿宋_GB2312" w:eastAsia="仿宋_GB2312"/>
                      <w:sz w:val="19"/>
                    </w:rPr>
                    <w:t>日历天内完成。</w:t>
                  </w:r>
                </w:p>
              </w:tc>
            </w:tr>
            <w:tr>
              <w:tc>
                <w:tcPr>
                  <w:tcW w:type="dxa" w:w="3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c>
                <w:tcPr>
                  <w:tcW w:type="dxa" w:w="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质保期</w:t>
                  </w:r>
                </w:p>
              </w:tc>
              <w:tc>
                <w:tcPr>
                  <w:tcW w:type="dxa" w:w="1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自项目竣工验收合格之日起</w:t>
                  </w:r>
                  <w:r>
                    <w:rPr>
                      <w:rFonts w:ascii="仿宋_GB2312" w:hAnsi="仿宋_GB2312" w:cs="仿宋_GB2312" w:eastAsia="仿宋_GB2312"/>
                      <w:sz w:val="19"/>
                    </w:rPr>
                    <w:t>2</w:t>
                  </w:r>
                  <w:r>
                    <w:rPr>
                      <w:rFonts w:ascii="仿宋_GB2312" w:hAnsi="仿宋_GB2312" w:cs="仿宋_GB2312" w:eastAsia="仿宋_GB2312"/>
                      <w:sz w:val="19"/>
                    </w:rPr>
                    <w:t>年。</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按国家规范标准执行</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符合国家规范标准</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1、本项目落实的政府采购政策： （1）《政府采购促进中小企业发展管理办法》的通知--财库〔2020〕46号； （2）财政部司法部关于政府采购支持监狱企业发展有关问题的通知--财库[2014]68号； （3）《财政部 发展改革委 生态环境部 市场监管总局关于调整优化节能产品 环境标志产品政府采购执行机制的通知》（财库〔2019〕9号）； （4）《关于促进残疾人就业政府采购政策的通知》（财库[2017]141号）； （5）《陕西省财政厅关于加快推进我省中小企业政府采购信用融资工作的通知》（陕财办采〔2020〕15 号）； （6）《陕西省中小企业政府采购信用融资办法》陕财办采〔2018〕23号； （7）《关于运用政府采购政策支持乡村产业振兴的通知》（财库〔2021〕19 号）； （8）《关于进一步加大政府采购支持中小企业力度的通知》（财库〔2022〕19号）； （9）《陕西省财政厅关于进一步落实政府采购支持中小企业相关政策的通知》（陕财办采〔2023〕3号）； （10）《关于推动解决政府采购异常低价问题的通知》； （11）《国务院办公厅关于在政府采购中实施本国产品标准及相关政策的通知》； （12）若享受以上政策优惠的企业，提供相应声明函或品目范围内产品有效认证证书。如有最新颁布的政府采购政策，按最新的文件执行。 2、保证金的退还：自成交通知书发出之日起5个工作日内退还未成交供应商的磋商保证金,自采购合同签订之日起5个工作日内退还成交供应商的投标保证金。 3、磋商文件中所有的商务要求均为实质性要求，供应商必须响应并满足。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专业资质</w:t>
            </w:r>
          </w:p>
        </w:tc>
        <w:tc>
          <w:tcPr>
            <w:tcW w:type="dxa" w:w="3322"/>
          </w:tcPr>
          <w:p>
            <w:pPr>
              <w:pStyle w:val="null3"/>
            </w:pPr>
            <w:r>
              <w:rPr>
                <w:rFonts w:ascii="仿宋_GB2312" w:hAnsi="仿宋_GB2312" w:cs="仿宋_GB2312" w:eastAsia="仿宋_GB2312"/>
              </w:rPr>
              <w:t>供应商具备电子与智能化工程专业承包二级资质，并具备有效的安全生产许可证</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拟派项目经理具备机电工程专业二级以上（含二级）注册建造师资格及安全生产考核合格证(建安B证)，在本单位注册且无其他在建工程（提供无在建工程的承诺函）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供应商及项目经理</w:t>
            </w:r>
          </w:p>
        </w:tc>
        <w:tc>
          <w:tcPr>
            <w:tcW w:type="dxa" w:w="3322"/>
          </w:tcPr>
          <w:p>
            <w:pPr>
              <w:pStyle w:val="null3"/>
            </w:pPr>
            <w:r>
              <w:rPr>
                <w:rFonts w:ascii="仿宋_GB2312" w:hAnsi="仿宋_GB2312" w:cs="仿宋_GB2312" w:eastAsia="仿宋_GB2312"/>
              </w:rPr>
              <w:t>供应商及项目经理须在“陕西省住房和城乡建设厅”可查询且无不良记录</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商务要求实质性响应</w:t>
            </w:r>
          </w:p>
        </w:tc>
        <w:tc>
          <w:tcPr>
            <w:tcW w:type="dxa" w:w="3322"/>
          </w:tcPr>
          <w:p>
            <w:pPr>
              <w:pStyle w:val="null3"/>
            </w:pPr>
            <w:r>
              <w:rPr>
                <w:rFonts w:ascii="仿宋_GB2312" w:hAnsi="仿宋_GB2312" w:cs="仿宋_GB2312" w:eastAsia="仿宋_GB2312"/>
              </w:rPr>
              <w:t>响应文件的项目完工期、质保期、付款方式、合同等商务内容符合磋商文件要求</w:t>
            </w:r>
          </w:p>
        </w:tc>
        <w:tc>
          <w:tcPr>
            <w:tcW w:type="dxa" w:w="1661"/>
          </w:tcPr>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设备部分采购内容清单.docx 其他说明.docx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响应产品的技术指标、参数完全符合或优于磋商文件要求，计20分；参数负偏离一项扣0.2分，扣完为止。 注：提供响应产品技术指标、参数的相应的证明材料（不限于产品彩页、测试报告、官网和功能截图等技术支持性文件资料），经评审专家审定得分。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1、详细评审---技术参数.docx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供应商针对本项目的实施方案，包括：①施工方案；②文物保护方案；③项目组配备人员；④施工进度安排；⑤安全文明施工措施；⑥施工质量保证措施；⑦设备运输、安装调试方案；⑧验收方案；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2、详细评审---实施方案.docx</w:t>
            </w:r>
          </w:p>
        </w:tc>
      </w:tr>
      <w:tr>
        <w:tc>
          <w:tcPr>
            <w:tcW w:type="dxa" w:w="831"/>
            <w:vMerge/>
          </w:tcPr>
          <w:p/>
        </w:tc>
        <w:tc>
          <w:tcPr>
            <w:tcW w:type="dxa" w:w="1661"/>
          </w:tcPr>
          <w:p>
            <w:pPr>
              <w:pStyle w:val="null3"/>
            </w:pPr>
            <w:r>
              <w:rPr>
                <w:rFonts w:ascii="仿宋_GB2312" w:hAnsi="仿宋_GB2312" w:cs="仿宋_GB2312" w:eastAsia="仿宋_GB2312"/>
              </w:rPr>
              <w:t>应急保障措施</w:t>
            </w:r>
          </w:p>
        </w:tc>
        <w:tc>
          <w:tcPr>
            <w:tcW w:type="dxa" w:w="2492"/>
          </w:tcPr>
          <w:p>
            <w:pPr>
              <w:pStyle w:val="null3"/>
            </w:pPr>
            <w:r>
              <w:rPr>
                <w:rFonts w:ascii="仿宋_GB2312" w:hAnsi="仿宋_GB2312" w:cs="仿宋_GB2312" w:eastAsia="仿宋_GB2312"/>
              </w:rPr>
              <w:t>根据文物保护单位的高标准、高要求，供应商对于项目实施过程中可能出现的突发状况有切实可行的应对方案及措施，能保证项目质量并按时提交项目成果，包括：①措施科学合理；②具体可行的响应时限；每有一项缺项扣2分，每有一项内容中有缺陷，扣1.分。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3、详细评审---应急保障措施.docx</w:t>
            </w:r>
          </w:p>
        </w:tc>
      </w:tr>
      <w:tr>
        <w:tc>
          <w:tcPr>
            <w:tcW w:type="dxa" w:w="831"/>
            <w:vMerge/>
          </w:tcPr>
          <w:p/>
        </w:tc>
        <w:tc>
          <w:tcPr>
            <w:tcW w:type="dxa" w:w="1661"/>
          </w:tcPr>
          <w:p>
            <w:pPr>
              <w:pStyle w:val="null3"/>
            </w:pPr>
            <w:r>
              <w:rPr>
                <w:rFonts w:ascii="仿宋_GB2312" w:hAnsi="仿宋_GB2312" w:cs="仿宋_GB2312" w:eastAsia="仿宋_GB2312"/>
              </w:rPr>
              <w:t>响应材料</w:t>
            </w:r>
          </w:p>
        </w:tc>
        <w:tc>
          <w:tcPr>
            <w:tcW w:type="dxa" w:w="2492"/>
          </w:tcPr>
          <w:p>
            <w:pPr>
              <w:pStyle w:val="null3"/>
            </w:pPr>
            <w:r>
              <w:rPr>
                <w:rFonts w:ascii="仿宋_GB2312" w:hAnsi="仿宋_GB2312" w:cs="仿宋_GB2312" w:eastAsia="仿宋_GB2312"/>
              </w:rPr>
              <w:t>1.供应商提供针对本项目的材料清单（清单内容包括但不限于材料名称、品牌、规格、材质等），符合本项目清单内容完整丰富，使用材料能保障工程质量（提供产品检测报告或宣传彩页或产品说明书或白皮书等相关支撑材料），根据响应情况计0-5分； 2.响应产品工艺优良、安全性高，货源渠道正规（包括但不限于产品授权书或销售协议），根据响应情况计0-3分； 3.如响应材料为节能环保或环境标志产品，提供产品的相关证明材料，每提供1份计1分，满分2分。 （注： 节能环保、环境标志产品以经国家确定的认证机构出具的、处于有效期内的节能产品、环境标志产品认证证书为准）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4、详细评审---响应材料.docx</w:t>
            </w:r>
          </w:p>
        </w:tc>
      </w:tr>
      <w:tr>
        <w:tc>
          <w:tcPr>
            <w:tcW w:type="dxa" w:w="831"/>
            <w:vMerge/>
          </w:tcPr>
          <w:p/>
        </w:tc>
        <w:tc>
          <w:tcPr>
            <w:tcW w:type="dxa" w:w="1661"/>
          </w:tcPr>
          <w:p>
            <w:pPr>
              <w:pStyle w:val="null3"/>
            </w:pPr>
            <w:r>
              <w:rPr>
                <w:rFonts w:ascii="仿宋_GB2312" w:hAnsi="仿宋_GB2312" w:cs="仿宋_GB2312" w:eastAsia="仿宋_GB2312"/>
              </w:rPr>
              <w:t>培训措施</w:t>
            </w:r>
          </w:p>
        </w:tc>
        <w:tc>
          <w:tcPr>
            <w:tcW w:type="dxa" w:w="2492"/>
          </w:tcPr>
          <w:p>
            <w:pPr>
              <w:pStyle w:val="null3"/>
            </w:pPr>
            <w:r>
              <w:rPr>
                <w:rFonts w:ascii="仿宋_GB2312" w:hAnsi="仿宋_GB2312" w:cs="仿宋_GB2312" w:eastAsia="仿宋_GB2312"/>
              </w:rPr>
              <w:t>针对本项目具有可行的技术培训方案，培训采购人指定的技术人员和管理人员，制定培训课程计划表，列出每种培训的地点和时间，培训内容应包括①所提供设备的原理、技术性能和注意事项；②日常使用培训、常见故障排除培训及操作维护方法；培训的具体日期及人数由使用单位确定。确保培训后的人员应能熟练操作设备，了解设备结构、工作原理，并能排除一般故障。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5、详细评审---培训措施.docx</w:t>
            </w:r>
          </w:p>
        </w:tc>
      </w:tr>
      <w:tr>
        <w:tc>
          <w:tcPr>
            <w:tcW w:type="dxa" w:w="831"/>
            <w:vMerge/>
          </w:tcPr>
          <w:p/>
        </w:tc>
        <w:tc>
          <w:tcPr>
            <w:tcW w:type="dxa" w:w="1661"/>
          </w:tcPr>
          <w:p>
            <w:pPr>
              <w:pStyle w:val="null3"/>
            </w:pPr>
            <w:r>
              <w:rPr>
                <w:rFonts w:ascii="仿宋_GB2312" w:hAnsi="仿宋_GB2312" w:cs="仿宋_GB2312" w:eastAsia="仿宋_GB2312"/>
              </w:rPr>
              <w:t>售后服务及保修承诺</w:t>
            </w:r>
          </w:p>
        </w:tc>
        <w:tc>
          <w:tcPr>
            <w:tcW w:type="dxa" w:w="2492"/>
          </w:tcPr>
          <w:p>
            <w:pPr>
              <w:pStyle w:val="null3"/>
            </w:pPr>
            <w:r>
              <w:rPr>
                <w:rFonts w:ascii="仿宋_GB2312" w:hAnsi="仿宋_GB2312" w:cs="仿宋_GB2312" w:eastAsia="仿宋_GB2312"/>
              </w:rPr>
              <w:t>针对本项目有具体的售后服务及保修承诺,该方案包含：①售后服务承诺；②售后人员配置安排计划；③故障处理响应时间及应急预案；④售后服务保障措施；⑤对工程维修服务响应时限有明确的保修承诺。每有一项缺项扣2分，每有一项内容中有缺陷，扣1分。 备注：本文所称“缺陷”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6、详细评审---售后服务及保修承诺.docx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提供供应商的2023年1月1日至今（以签订日期为准）同类项目业绩完整合同，每份计1分，满分6分。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磋商报价采用低价优先法计算，即满足磋商文件要求且最后磋商报价最低的报价为评审基准价，其价格分为满分。其他供应商的价格分统一按照下列公式计算：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详见附件：设备部分采购内容清单.docx</w:t>
      </w:r>
    </w:p>
    <w:p>
      <w:pPr>
        <w:pStyle w:val="null3"/>
        <w:ind w:firstLine="960"/>
      </w:pPr>
      <w:r>
        <w:rPr>
          <w:rFonts w:ascii="仿宋_GB2312" w:hAnsi="仿宋_GB2312" w:cs="仿宋_GB2312" w:eastAsia="仿宋_GB2312"/>
        </w:rPr>
        <w:t>详见附件：1、详细评审---技术参数.docx</w:t>
      </w:r>
    </w:p>
    <w:p>
      <w:pPr>
        <w:pStyle w:val="null3"/>
        <w:ind w:firstLine="960"/>
      </w:pPr>
      <w:r>
        <w:rPr>
          <w:rFonts w:ascii="仿宋_GB2312" w:hAnsi="仿宋_GB2312" w:cs="仿宋_GB2312" w:eastAsia="仿宋_GB2312"/>
        </w:rPr>
        <w:t>详见附件：2、详细评审---实施方案.docx</w:t>
      </w:r>
    </w:p>
    <w:p>
      <w:pPr>
        <w:pStyle w:val="null3"/>
        <w:ind w:firstLine="960"/>
      </w:pPr>
      <w:r>
        <w:rPr>
          <w:rFonts w:ascii="仿宋_GB2312" w:hAnsi="仿宋_GB2312" w:cs="仿宋_GB2312" w:eastAsia="仿宋_GB2312"/>
        </w:rPr>
        <w:t>详见附件：3、详细评审---应急保障措施.docx</w:t>
      </w:r>
    </w:p>
    <w:p>
      <w:pPr>
        <w:pStyle w:val="null3"/>
        <w:ind w:firstLine="960"/>
      </w:pPr>
      <w:r>
        <w:rPr>
          <w:rFonts w:ascii="仿宋_GB2312" w:hAnsi="仿宋_GB2312" w:cs="仿宋_GB2312" w:eastAsia="仿宋_GB2312"/>
        </w:rPr>
        <w:t>详见附件：4、详细评审---响应材料.docx</w:t>
      </w:r>
    </w:p>
    <w:p>
      <w:pPr>
        <w:pStyle w:val="null3"/>
        <w:ind w:firstLine="960"/>
      </w:pPr>
      <w:r>
        <w:rPr>
          <w:rFonts w:ascii="仿宋_GB2312" w:hAnsi="仿宋_GB2312" w:cs="仿宋_GB2312" w:eastAsia="仿宋_GB2312"/>
        </w:rPr>
        <w:t>详见附件：5、详细评审---培训措施.docx</w:t>
      </w:r>
    </w:p>
    <w:p>
      <w:pPr>
        <w:pStyle w:val="null3"/>
        <w:ind w:firstLine="960"/>
      </w:pPr>
      <w:r>
        <w:rPr>
          <w:rFonts w:ascii="仿宋_GB2312" w:hAnsi="仿宋_GB2312" w:cs="仿宋_GB2312" w:eastAsia="仿宋_GB2312"/>
        </w:rPr>
        <w:t>详见附件：6、详细评审---售后服务及保修承诺.docx</w:t>
      </w:r>
    </w:p>
    <w:p>
      <w:pPr>
        <w:pStyle w:val="null3"/>
        <w:ind w:firstLine="960"/>
      </w:pPr>
      <w:r>
        <w:rPr>
          <w:rFonts w:ascii="仿宋_GB2312" w:hAnsi="仿宋_GB2312" w:cs="仿宋_GB2312" w:eastAsia="仿宋_GB2312"/>
        </w:rPr>
        <w:t>详见附件：7、详细评审---业绩.docx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