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FDC624">
      <w:pPr>
        <w:pStyle w:val="19"/>
        <w:jc w:val="center"/>
        <w:outlineLvl w:val="0"/>
        <w:rPr>
          <w:rFonts w:ascii="宋体" w:hAnsi="宋体" w:eastAsia="宋体" w:cs="宋体"/>
        </w:rPr>
      </w:pPr>
      <w:bookmarkStart w:id="0" w:name="_Toc26687"/>
      <w:r>
        <w:rPr>
          <w:rFonts w:ascii="宋体" w:hAnsi="宋体" w:eastAsia="宋体" w:cs="宋体"/>
          <w:b/>
          <w:sz w:val="36"/>
        </w:rPr>
        <w:t>合同文本</w:t>
      </w:r>
      <w:bookmarkEnd w:id="0"/>
    </w:p>
    <w:p w14:paraId="664E3972">
      <w:pPr>
        <w:wordWrap/>
        <w:autoSpaceDE/>
        <w:autoSpaceDN/>
        <w:snapToGrid w:val="0"/>
        <w:spacing w:before="156" w:beforeLines="50" w:line="360" w:lineRule="auto"/>
        <w:ind w:firstLine="5431" w:firstLineChars="2576"/>
        <w:rPr>
          <w:rFonts w:hint="eastAsia" w:ascii="宋体" w:hAnsi="宋体" w:eastAsia="宋体" w:cs="宋体"/>
          <w:b/>
          <w:color w:val="000000"/>
          <w:sz w:val="21"/>
          <w:szCs w:val="21"/>
          <w:lang w:eastAsia="zh-CN"/>
        </w:rPr>
      </w:pPr>
    </w:p>
    <w:p w14:paraId="46C789B3">
      <w:pPr>
        <w:wordWrap/>
        <w:autoSpaceDE/>
        <w:autoSpaceDN/>
        <w:adjustRightInd w:val="0"/>
        <w:snapToGrid w:val="0"/>
        <w:jc w:val="center"/>
        <w:outlineLvl w:val="9"/>
        <w:rPr>
          <w:rFonts w:hint="eastAsia" w:ascii="宋体" w:hAnsi="宋体" w:eastAsia="宋体" w:cs="宋体"/>
          <w:color w:val="auto"/>
          <w:sz w:val="36"/>
          <w:szCs w:val="36"/>
          <w:lang w:eastAsia="zh-CN"/>
        </w:rPr>
      </w:pPr>
      <w:r>
        <w:rPr>
          <w:rFonts w:hint="eastAsia" w:ascii="宋体" w:hAnsi="宋体" w:eastAsia="宋体" w:cs="宋体"/>
          <w:color w:val="auto"/>
          <w:sz w:val="36"/>
          <w:szCs w:val="36"/>
          <w:lang w:eastAsia="zh-CN"/>
        </w:rPr>
        <w:t>仪器设备类采购合同示范文本</w:t>
      </w:r>
    </w:p>
    <w:p w14:paraId="5BD01458">
      <w:pPr>
        <w:wordWrap/>
        <w:autoSpaceDE/>
        <w:autoSpaceDN/>
        <w:spacing w:line="480" w:lineRule="exact"/>
        <w:ind w:firstLine="480" w:firstLineChars="200"/>
        <w:outlineLvl w:val="9"/>
        <w:rPr>
          <w:rFonts w:hint="eastAsia" w:ascii="宋体" w:hAnsi="宋体" w:eastAsia="宋体" w:cs="宋体"/>
          <w:color w:val="auto"/>
          <w:sz w:val="24"/>
          <w:szCs w:val="22"/>
          <w:lang w:eastAsia="zh-CN"/>
        </w:rPr>
      </w:pPr>
    </w:p>
    <w:p w14:paraId="3CF0FB4C">
      <w:pPr>
        <w:wordWrap/>
        <w:autoSpaceDE/>
        <w:autoSpaceDN/>
        <w:spacing w:line="480" w:lineRule="exact"/>
        <w:ind w:firstLine="480" w:firstLineChars="200"/>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甲方：</w:t>
      </w:r>
      <w:r>
        <w:rPr>
          <w:rFonts w:hint="eastAsia" w:ascii="宋体" w:hAnsi="宋体" w:eastAsia="宋体" w:cs="宋体"/>
          <w:color w:val="auto"/>
          <w:sz w:val="24"/>
          <w:szCs w:val="24"/>
          <w:u w:val="single"/>
          <w:lang w:eastAsia="zh-CN"/>
        </w:rPr>
        <w:t xml:space="preserve">  西安建筑科技大学   </w:t>
      </w:r>
    </w:p>
    <w:p w14:paraId="1E99E305">
      <w:pPr>
        <w:wordWrap/>
        <w:autoSpaceDE/>
        <w:autoSpaceDN/>
        <w:spacing w:line="480" w:lineRule="exact"/>
        <w:ind w:firstLine="480" w:firstLineChars="200"/>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乙方：</w:t>
      </w:r>
      <w:r>
        <w:rPr>
          <w:rFonts w:hint="eastAsia" w:ascii="宋体" w:hAnsi="宋体" w:eastAsia="宋体" w:cs="宋体"/>
          <w:color w:val="auto"/>
          <w:sz w:val="24"/>
          <w:szCs w:val="24"/>
          <w:u w:val="single"/>
          <w:lang w:eastAsia="zh-CN"/>
        </w:rPr>
        <w:t xml:space="preserve">                     </w:t>
      </w:r>
    </w:p>
    <w:p w14:paraId="673E088E">
      <w:pPr>
        <w:wordWrap/>
        <w:autoSpaceDE/>
        <w:autoSpaceDN/>
        <w:spacing w:line="480" w:lineRule="exact"/>
        <w:ind w:firstLine="480" w:firstLineChars="200"/>
        <w:outlineLvl w:val="9"/>
        <w:rPr>
          <w:rFonts w:hint="eastAsia" w:ascii="宋体" w:hAnsi="宋体" w:eastAsia="宋体" w:cs="宋体"/>
          <w:color w:val="auto"/>
          <w:sz w:val="24"/>
          <w:szCs w:val="22"/>
          <w:lang w:eastAsia="zh-CN"/>
        </w:rPr>
      </w:pPr>
    </w:p>
    <w:p w14:paraId="00665E2E">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依据《中华人民共和国政府采购法》《中华人民共和国民法典》等相关法律法规，以及</w:t>
      </w:r>
      <w:r>
        <w:rPr>
          <w:rFonts w:hint="eastAsia" w:ascii="宋体" w:hAnsi="宋体" w:eastAsia="宋体" w:cs="宋体"/>
          <w:color w:val="auto"/>
          <w:kern w:val="0"/>
          <w:sz w:val="24"/>
          <w:szCs w:val="24"/>
          <w:u w:val="single"/>
          <w:lang w:eastAsia="zh-CN"/>
        </w:rPr>
        <w:t xml:space="preserve">                 </w:t>
      </w:r>
      <w:r>
        <w:rPr>
          <w:rFonts w:hint="eastAsia" w:ascii="宋体" w:hAnsi="宋体" w:eastAsia="宋体" w:cs="宋体"/>
          <w:color w:val="auto"/>
          <w:kern w:val="0"/>
          <w:sz w:val="24"/>
          <w:szCs w:val="24"/>
          <w:lang w:eastAsia="zh-CN"/>
        </w:rPr>
        <w:t>项目的采购结果，乙方为成交（中标）人。现经甲乙双方协商一致，签订本合同。详细技术说明及其他有关合同货物的特定信息等由合同附件予以说明，所有附件及本项目的招标文件、投标文件等均为本合同不可分割之一部分。</w:t>
      </w:r>
    </w:p>
    <w:p w14:paraId="7B8FE0FE">
      <w:pPr>
        <w:widowControl/>
        <w:wordWrap/>
        <w:autoSpaceDE/>
        <w:autoSpaceDN/>
        <w:spacing w:line="480" w:lineRule="exact"/>
        <w:ind w:firstLine="482"/>
        <w:jc w:val="left"/>
        <w:outlineLvl w:val="9"/>
        <w:rPr>
          <w:rFonts w:hint="eastAsia" w:ascii="宋体" w:hAnsi="宋体" w:eastAsia="宋体" w:cs="宋体"/>
          <w:b/>
          <w:color w:val="auto"/>
          <w:kern w:val="0"/>
          <w:sz w:val="28"/>
          <w:szCs w:val="28"/>
          <w:lang w:eastAsia="zh-CN"/>
        </w:rPr>
      </w:pPr>
      <w:r>
        <w:rPr>
          <w:rFonts w:hint="eastAsia" w:ascii="宋体" w:hAnsi="宋体" w:eastAsia="宋体" w:cs="宋体"/>
          <w:b/>
          <w:color w:val="auto"/>
          <w:kern w:val="0"/>
          <w:sz w:val="28"/>
          <w:szCs w:val="28"/>
          <w:lang w:eastAsia="zh-CN"/>
        </w:rPr>
        <w:t>一、合同标的</w:t>
      </w:r>
    </w:p>
    <w:p w14:paraId="66D7065A">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1.标的明细清单</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88"/>
        <w:gridCol w:w="1805"/>
        <w:gridCol w:w="1980"/>
        <w:gridCol w:w="886"/>
        <w:gridCol w:w="985"/>
        <w:gridCol w:w="984"/>
        <w:gridCol w:w="978"/>
        <w:gridCol w:w="580"/>
      </w:tblGrid>
      <w:tr w14:paraId="29F31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92" w:hRule="atLeast"/>
          <w:jc w:val="center"/>
        </w:trPr>
        <w:tc>
          <w:tcPr>
            <w:tcW w:w="488" w:type="dxa"/>
            <w:noWrap/>
            <w:tcMar>
              <w:top w:w="20" w:type="dxa"/>
              <w:left w:w="20" w:type="dxa"/>
              <w:bottom w:w="0" w:type="dxa"/>
              <w:right w:w="20" w:type="dxa"/>
            </w:tcMar>
            <w:vAlign w:val="center"/>
          </w:tcPr>
          <w:p w14:paraId="41F30D35">
            <w:pPr>
              <w:wordWrap/>
              <w:autoSpaceDE/>
              <w:autoSpaceDN/>
              <w:spacing w:line="360" w:lineRule="auto"/>
              <w:jc w:val="center"/>
              <w:outlineLvl w:val="9"/>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序号</w:t>
            </w:r>
          </w:p>
        </w:tc>
        <w:tc>
          <w:tcPr>
            <w:tcW w:w="1805" w:type="dxa"/>
            <w:noWrap/>
            <w:tcMar>
              <w:top w:w="20" w:type="dxa"/>
              <w:left w:w="20" w:type="dxa"/>
              <w:bottom w:w="0" w:type="dxa"/>
              <w:right w:w="20" w:type="dxa"/>
            </w:tcMar>
            <w:vAlign w:val="center"/>
          </w:tcPr>
          <w:p w14:paraId="6B17DC28">
            <w:pPr>
              <w:wordWrap/>
              <w:autoSpaceDE/>
              <w:autoSpaceDN/>
              <w:spacing w:line="360" w:lineRule="auto"/>
              <w:jc w:val="center"/>
              <w:outlineLvl w:val="9"/>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设备名称</w:t>
            </w:r>
          </w:p>
        </w:tc>
        <w:tc>
          <w:tcPr>
            <w:tcW w:w="1980" w:type="dxa"/>
            <w:noWrap/>
            <w:tcMar>
              <w:top w:w="20" w:type="dxa"/>
              <w:left w:w="20" w:type="dxa"/>
              <w:bottom w:w="0" w:type="dxa"/>
              <w:right w:w="20" w:type="dxa"/>
            </w:tcMar>
            <w:vAlign w:val="center"/>
          </w:tcPr>
          <w:p w14:paraId="445562C5">
            <w:pPr>
              <w:wordWrap/>
              <w:autoSpaceDE/>
              <w:autoSpaceDN/>
              <w:spacing w:line="360" w:lineRule="auto"/>
              <w:jc w:val="center"/>
              <w:outlineLvl w:val="9"/>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品牌、规格、型号</w:t>
            </w:r>
          </w:p>
        </w:tc>
        <w:tc>
          <w:tcPr>
            <w:tcW w:w="886" w:type="dxa"/>
            <w:noWrap/>
            <w:tcMar>
              <w:top w:w="20" w:type="dxa"/>
              <w:left w:w="20" w:type="dxa"/>
              <w:bottom w:w="0" w:type="dxa"/>
              <w:right w:w="20" w:type="dxa"/>
            </w:tcMar>
            <w:vAlign w:val="center"/>
          </w:tcPr>
          <w:p w14:paraId="391CCC9D">
            <w:pPr>
              <w:wordWrap/>
              <w:autoSpaceDE/>
              <w:autoSpaceDN/>
              <w:spacing w:line="360" w:lineRule="auto"/>
              <w:jc w:val="center"/>
              <w:outlineLvl w:val="9"/>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数量</w:t>
            </w:r>
          </w:p>
          <w:p w14:paraId="7EC7710B">
            <w:pPr>
              <w:wordWrap/>
              <w:autoSpaceDE/>
              <w:autoSpaceDN/>
              <w:spacing w:line="360" w:lineRule="auto"/>
              <w:jc w:val="center"/>
              <w:outlineLvl w:val="9"/>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（台、套）</w:t>
            </w:r>
          </w:p>
        </w:tc>
        <w:tc>
          <w:tcPr>
            <w:tcW w:w="985" w:type="dxa"/>
            <w:noWrap/>
            <w:tcMar>
              <w:top w:w="20" w:type="dxa"/>
              <w:left w:w="20" w:type="dxa"/>
              <w:bottom w:w="0" w:type="dxa"/>
              <w:right w:w="20" w:type="dxa"/>
            </w:tcMar>
            <w:vAlign w:val="center"/>
          </w:tcPr>
          <w:p w14:paraId="049F29DF">
            <w:pPr>
              <w:wordWrap/>
              <w:autoSpaceDE/>
              <w:autoSpaceDN/>
              <w:spacing w:line="360" w:lineRule="auto"/>
              <w:jc w:val="center"/>
              <w:outlineLvl w:val="9"/>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单价</w:t>
            </w:r>
          </w:p>
          <w:p w14:paraId="01FF9285">
            <w:pPr>
              <w:wordWrap/>
              <w:autoSpaceDE/>
              <w:autoSpaceDN/>
              <w:spacing w:line="360" w:lineRule="auto"/>
              <w:jc w:val="center"/>
              <w:outlineLvl w:val="9"/>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(万元)</w:t>
            </w:r>
          </w:p>
        </w:tc>
        <w:tc>
          <w:tcPr>
            <w:tcW w:w="984" w:type="dxa"/>
            <w:noWrap/>
            <w:tcMar>
              <w:top w:w="20" w:type="dxa"/>
              <w:left w:w="20" w:type="dxa"/>
              <w:bottom w:w="0" w:type="dxa"/>
              <w:right w:w="20" w:type="dxa"/>
            </w:tcMar>
            <w:vAlign w:val="center"/>
          </w:tcPr>
          <w:p w14:paraId="35373C6B">
            <w:pPr>
              <w:wordWrap/>
              <w:autoSpaceDE/>
              <w:autoSpaceDN/>
              <w:spacing w:line="360" w:lineRule="auto"/>
              <w:jc w:val="center"/>
              <w:outlineLvl w:val="9"/>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合计</w:t>
            </w:r>
          </w:p>
          <w:p w14:paraId="44330E68">
            <w:pPr>
              <w:wordWrap/>
              <w:autoSpaceDE/>
              <w:autoSpaceDN/>
              <w:spacing w:line="360" w:lineRule="auto"/>
              <w:jc w:val="center"/>
              <w:outlineLvl w:val="9"/>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（万元）</w:t>
            </w:r>
          </w:p>
        </w:tc>
        <w:tc>
          <w:tcPr>
            <w:tcW w:w="978" w:type="dxa"/>
            <w:noWrap/>
            <w:vAlign w:val="center"/>
          </w:tcPr>
          <w:p w14:paraId="16D5F406">
            <w:pPr>
              <w:wordWrap/>
              <w:autoSpaceDE/>
              <w:autoSpaceDN/>
              <w:spacing w:line="360" w:lineRule="auto"/>
              <w:jc w:val="center"/>
              <w:outlineLvl w:val="9"/>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生产商</w:t>
            </w:r>
          </w:p>
        </w:tc>
        <w:tc>
          <w:tcPr>
            <w:tcW w:w="580" w:type="dxa"/>
            <w:noWrap/>
            <w:tcMar>
              <w:top w:w="20" w:type="dxa"/>
              <w:left w:w="20" w:type="dxa"/>
              <w:bottom w:w="0" w:type="dxa"/>
              <w:right w:w="20" w:type="dxa"/>
            </w:tcMar>
            <w:vAlign w:val="center"/>
          </w:tcPr>
          <w:p w14:paraId="55F00C92">
            <w:pPr>
              <w:wordWrap/>
              <w:autoSpaceDE/>
              <w:autoSpaceDN/>
              <w:spacing w:line="360" w:lineRule="auto"/>
              <w:jc w:val="center"/>
              <w:outlineLvl w:val="9"/>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备注</w:t>
            </w:r>
          </w:p>
        </w:tc>
      </w:tr>
      <w:tr w14:paraId="4778C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79" w:hRule="atLeast"/>
          <w:jc w:val="center"/>
        </w:trPr>
        <w:tc>
          <w:tcPr>
            <w:tcW w:w="488" w:type="dxa"/>
            <w:noWrap/>
            <w:tcMar>
              <w:top w:w="20" w:type="dxa"/>
              <w:left w:w="20" w:type="dxa"/>
              <w:bottom w:w="0" w:type="dxa"/>
              <w:right w:w="20" w:type="dxa"/>
            </w:tcMar>
            <w:vAlign w:val="center"/>
          </w:tcPr>
          <w:p w14:paraId="0A3586B6">
            <w:pPr>
              <w:wordWrap/>
              <w:autoSpaceDE/>
              <w:autoSpaceDN/>
              <w:spacing w:line="360" w:lineRule="auto"/>
              <w:jc w:val="center"/>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w:t>
            </w:r>
          </w:p>
        </w:tc>
        <w:tc>
          <w:tcPr>
            <w:tcW w:w="1805" w:type="dxa"/>
            <w:noWrap/>
            <w:tcMar>
              <w:top w:w="20" w:type="dxa"/>
              <w:left w:w="20" w:type="dxa"/>
              <w:bottom w:w="0" w:type="dxa"/>
              <w:right w:w="20" w:type="dxa"/>
            </w:tcMar>
            <w:vAlign w:val="center"/>
          </w:tcPr>
          <w:p w14:paraId="5602A21A">
            <w:pPr>
              <w:wordWrap/>
              <w:autoSpaceDE/>
              <w:autoSpaceDN/>
              <w:spacing w:line="360" w:lineRule="auto"/>
              <w:jc w:val="center"/>
              <w:outlineLvl w:val="9"/>
              <w:rPr>
                <w:rFonts w:hint="eastAsia" w:ascii="宋体" w:hAnsi="宋体" w:eastAsia="宋体" w:cs="宋体"/>
                <w:color w:val="auto"/>
                <w:sz w:val="21"/>
                <w:szCs w:val="21"/>
                <w:lang w:eastAsia="zh-CN"/>
              </w:rPr>
            </w:pPr>
          </w:p>
        </w:tc>
        <w:tc>
          <w:tcPr>
            <w:tcW w:w="1980" w:type="dxa"/>
            <w:noWrap/>
            <w:tcMar>
              <w:top w:w="20" w:type="dxa"/>
              <w:left w:w="20" w:type="dxa"/>
              <w:bottom w:w="0" w:type="dxa"/>
              <w:right w:w="20" w:type="dxa"/>
            </w:tcMar>
            <w:vAlign w:val="center"/>
          </w:tcPr>
          <w:p w14:paraId="41E78247">
            <w:pPr>
              <w:wordWrap/>
              <w:autoSpaceDE/>
              <w:autoSpaceDN/>
              <w:spacing w:line="360" w:lineRule="auto"/>
              <w:jc w:val="center"/>
              <w:outlineLvl w:val="9"/>
              <w:rPr>
                <w:rFonts w:hint="eastAsia" w:ascii="宋体" w:hAnsi="宋体" w:eastAsia="宋体" w:cs="宋体"/>
                <w:color w:val="auto"/>
                <w:sz w:val="21"/>
                <w:szCs w:val="21"/>
                <w:lang w:eastAsia="zh-CN"/>
              </w:rPr>
            </w:pPr>
          </w:p>
        </w:tc>
        <w:tc>
          <w:tcPr>
            <w:tcW w:w="886" w:type="dxa"/>
            <w:noWrap/>
            <w:tcMar>
              <w:top w:w="20" w:type="dxa"/>
              <w:left w:w="20" w:type="dxa"/>
              <w:bottom w:w="0" w:type="dxa"/>
              <w:right w:w="20" w:type="dxa"/>
            </w:tcMar>
            <w:vAlign w:val="center"/>
          </w:tcPr>
          <w:p w14:paraId="64B56D4C">
            <w:pPr>
              <w:wordWrap/>
              <w:autoSpaceDE/>
              <w:autoSpaceDN/>
              <w:spacing w:line="360" w:lineRule="auto"/>
              <w:jc w:val="center"/>
              <w:outlineLvl w:val="9"/>
              <w:rPr>
                <w:rFonts w:hint="eastAsia" w:ascii="宋体" w:hAnsi="宋体" w:eastAsia="宋体" w:cs="宋体"/>
                <w:color w:val="auto"/>
                <w:sz w:val="21"/>
                <w:szCs w:val="21"/>
                <w:lang w:eastAsia="zh-CN"/>
              </w:rPr>
            </w:pPr>
          </w:p>
        </w:tc>
        <w:tc>
          <w:tcPr>
            <w:tcW w:w="985" w:type="dxa"/>
            <w:noWrap/>
            <w:tcMar>
              <w:top w:w="20" w:type="dxa"/>
              <w:left w:w="20" w:type="dxa"/>
              <w:bottom w:w="0" w:type="dxa"/>
              <w:right w:w="20" w:type="dxa"/>
            </w:tcMar>
            <w:vAlign w:val="center"/>
          </w:tcPr>
          <w:p w14:paraId="6AF714C6">
            <w:pPr>
              <w:wordWrap/>
              <w:autoSpaceDE/>
              <w:autoSpaceDN/>
              <w:spacing w:line="360" w:lineRule="auto"/>
              <w:jc w:val="center"/>
              <w:outlineLvl w:val="9"/>
              <w:rPr>
                <w:rFonts w:hint="eastAsia" w:ascii="宋体" w:hAnsi="宋体" w:eastAsia="宋体" w:cs="宋体"/>
                <w:color w:val="auto"/>
                <w:sz w:val="21"/>
                <w:szCs w:val="21"/>
                <w:lang w:eastAsia="zh-CN"/>
              </w:rPr>
            </w:pPr>
          </w:p>
        </w:tc>
        <w:tc>
          <w:tcPr>
            <w:tcW w:w="984" w:type="dxa"/>
            <w:noWrap/>
            <w:tcMar>
              <w:top w:w="20" w:type="dxa"/>
              <w:left w:w="20" w:type="dxa"/>
              <w:bottom w:w="0" w:type="dxa"/>
              <w:right w:w="20" w:type="dxa"/>
            </w:tcMar>
            <w:vAlign w:val="center"/>
          </w:tcPr>
          <w:p w14:paraId="2BEDA27C">
            <w:pPr>
              <w:wordWrap/>
              <w:autoSpaceDE/>
              <w:autoSpaceDN/>
              <w:spacing w:line="360" w:lineRule="auto"/>
              <w:jc w:val="center"/>
              <w:outlineLvl w:val="9"/>
              <w:rPr>
                <w:rFonts w:hint="eastAsia" w:ascii="宋体" w:hAnsi="宋体" w:eastAsia="宋体" w:cs="宋体"/>
                <w:color w:val="auto"/>
                <w:sz w:val="21"/>
                <w:szCs w:val="21"/>
                <w:lang w:eastAsia="zh-CN"/>
              </w:rPr>
            </w:pPr>
          </w:p>
        </w:tc>
        <w:tc>
          <w:tcPr>
            <w:tcW w:w="978" w:type="dxa"/>
            <w:noWrap/>
            <w:vAlign w:val="center"/>
          </w:tcPr>
          <w:p w14:paraId="2635BC1E">
            <w:pPr>
              <w:wordWrap/>
              <w:autoSpaceDE/>
              <w:autoSpaceDN/>
              <w:spacing w:line="360" w:lineRule="auto"/>
              <w:jc w:val="center"/>
              <w:outlineLvl w:val="9"/>
              <w:rPr>
                <w:rFonts w:hint="eastAsia" w:ascii="宋体" w:hAnsi="宋体" w:eastAsia="宋体" w:cs="宋体"/>
                <w:color w:val="auto"/>
                <w:sz w:val="21"/>
                <w:szCs w:val="21"/>
                <w:lang w:eastAsia="zh-CN"/>
              </w:rPr>
            </w:pPr>
          </w:p>
        </w:tc>
        <w:tc>
          <w:tcPr>
            <w:tcW w:w="580" w:type="dxa"/>
            <w:noWrap/>
            <w:tcMar>
              <w:top w:w="20" w:type="dxa"/>
              <w:left w:w="20" w:type="dxa"/>
              <w:bottom w:w="0" w:type="dxa"/>
              <w:right w:w="20" w:type="dxa"/>
            </w:tcMar>
            <w:vAlign w:val="center"/>
          </w:tcPr>
          <w:p w14:paraId="277513B2">
            <w:pPr>
              <w:wordWrap/>
              <w:autoSpaceDE/>
              <w:autoSpaceDN/>
              <w:spacing w:line="360" w:lineRule="auto"/>
              <w:jc w:val="center"/>
              <w:outlineLvl w:val="9"/>
              <w:rPr>
                <w:rFonts w:hint="eastAsia" w:ascii="宋体" w:hAnsi="宋体" w:eastAsia="宋体" w:cs="宋体"/>
                <w:color w:val="auto"/>
                <w:sz w:val="21"/>
                <w:szCs w:val="21"/>
                <w:lang w:eastAsia="zh-CN"/>
              </w:rPr>
            </w:pPr>
          </w:p>
        </w:tc>
      </w:tr>
      <w:tr w14:paraId="4C5C5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7" w:hRule="atLeast"/>
          <w:jc w:val="center"/>
        </w:trPr>
        <w:tc>
          <w:tcPr>
            <w:tcW w:w="488" w:type="dxa"/>
            <w:noWrap/>
            <w:tcMar>
              <w:top w:w="20" w:type="dxa"/>
              <w:left w:w="20" w:type="dxa"/>
              <w:bottom w:w="0" w:type="dxa"/>
              <w:right w:w="20" w:type="dxa"/>
            </w:tcMar>
            <w:vAlign w:val="center"/>
          </w:tcPr>
          <w:p w14:paraId="04CF0DCF">
            <w:pPr>
              <w:wordWrap/>
              <w:autoSpaceDE/>
              <w:autoSpaceDN/>
              <w:spacing w:line="360" w:lineRule="auto"/>
              <w:jc w:val="center"/>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2</w:t>
            </w:r>
          </w:p>
        </w:tc>
        <w:tc>
          <w:tcPr>
            <w:tcW w:w="1805" w:type="dxa"/>
            <w:noWrap/>
            <w:tcMar>
              <w:top w:w="20" w:type="dxa"/>
              <w:left w:w="20" w:type="dxa"/>
              <w:bottom w:w="0" w:type="dxa"/>
              <w:right w:w="20" w:type="dxa"/>
            </w:tcMar>
            <w:vAlign w:val="center"/>
          </w:tcPr>
          <w:p w14:paraId="324E6344">
            <w:pPr>
              <w:wordWrap/>
              <w:autoSpaceDE/>
              <w:autoSpaceDN/>
              <w:spacing w:line="360" w:lineRule="auto"/>
              <w:jc w:val="center"/>
              <w:outlineLvl w:val="9"/>
              <w:rPr>
                <w:rFonts w:hint="eastAsia" w:ascii="宋体" w:hAnsi="宋体" w:eastAsia="宋体" w:cs="宋体"/>
                <w:color w:val="auto"/>
                <w:sz w:val="21"/>
                <w:szCs w:val="21"/>
                <w:lang w:eastAsia="zh-CN"/>
              </w:rPr>
            </w:pPr>
          </w:p>
        </w:tc>
        <w:tc>
          <w:tcPr>
            <w:tcW w:w="1980" w:type="dxa"/>
            <w:noWrap/>
            <w:tcMar>
              <w:top w:w="20" w:type="dxa"/>
              <w:left w:w="20" w:type="dxa"/>
              <w:bottom w:w="0" w:type="dxa"/>
              <w:right w:w="20" w:type="dxa"/>
            </w:tcMar>
            <w:vAlign w:val="center"/>
          </w:tcPr>
          <w:p w14:paraId="58A53A19">
            <w:pPr>
              <w:wordWrap/>
              <w:autoSpaceDE/>
              <w:autoSpaceDN/>
              <w:spacing w:line="360" w:lineRule="auto"/>
              <w:jc w:val="center"/>
              <w:outlineLvl w:val="9"/>
              <w:rPr>
                <w:rFonts w:hint="eastAsia" w:ascii="宋体" w:hAnsi="宋体" w:eastAsia="宋体" w:cs="宋体"/>
                <w:color w:val="auto"/>
                <w:sz w:val="21"/>
                <w:szCs w:val="21"/>
                <w:lang w:eastAsia="zh-CN"/>
              </w:rPr>
            </w:pPr>
          </w:p>
        </w:tc>
        <w:tc>
          <w:tcPr>
            <w:tcW w:w="886" w:type="dxa"/>
            <w:noWrap/>
            <w:tcMar>
              <w:top w:w="20" w:type="dxa"/>
              <w:left w:w="20" w:type="dxa"/>
              <w:bottom w:w="0" w:type="dxa"/>
              <w:right w:w="20" w:type="dxa"/>
            </w:tcMar>
            <w:vAlign w:val="center"/>
          </w:tcPr>
          <w:p w14:paraId="1540C2C1">
            <w:pPr>
              <w:wordWrap/>
              <w:autoSpaceDE/>
              <w:autoSpaceDN/>
              <w:spacing w:line="360" w:lineRule="auto"/>
              <w:jc w:val="center"/>
              <w:outlineLvl w:val="9"/>
              <w:rPr>
                <w:rFonts w:hint="eastAsia" w:ascii="宋体" w:hAnsi="宋体" w:eastAsia="宋体" w:cs="宋体"/>
                <w:color w:val="auto"/>
                <w:sz w:val="21"/>
                <w:szCs w:val="21"/>
                <w:lang w:eastAsia="zh-CN"/>
              </w:rPr>
            </w:pPr>
          </w:p>
        </w:tc>
        <w:tc>
          <w:tcPr>
            <w:tcW w:w="985" w:type="dxa"/>
            <w:noWrap/>
            <w:tcMar>
              <w:top w:w="20" w:type="dxa"/>
              <w:left w:w="20" w:type="dxa"/>
              <w:bottom w:w="0" w:type="dxa"/>
              <w:right w:w="20" w:type="dxa"/>
            </w:tcMar>
            <w:vAlign w:val="center"/>
          </w:tcPr>
          <w:p w14:paraId="108FA9DC">
            <w:pPr>
              <w:wordWrap/>
              <w:autoSpaceDE/>
              <w:autoSpaceDN/>
              <w:spacing w:line="360" w:lineRule="auto"/>
              <w:jc w:val="center"/>
              <w:outlineLvl w:val="9"/>
              <w:rPr>
                <w:rFonts w:hint="eastAsia" w:ascii="宋体" w:hAnsi="宋体" w:eastAsia="宋体" w:cs="宋体"/>
                <w:color w:val="auto"/>
                <w:sz w:val="21"/>
                <w:szCs w:val="21"/>
                <w:lang w:eastAsia="zh-CN"/>
              </w:rPr>
            </w:pPr>
          </w:p>
        </w:tc>
        <w:tc>
          <w:tcPr>
            <w:tcW w:w="984" w:type="dxa"/>
            <w:noWrap/>
            <w:tcMar>
              <w:top w:w="20" w:type="dxa"/>
              <w:left w:w="20" w:type="dxa"/>
              <w:bottom w:w="0" w:type="dxa"/>
              <w:right w:w="20" w:type="dxa"/>
            </w:tcMar>
            <w:vAlign w:val="center"/>
          </w:tcPr>
          <w:p w14:paraId="64F1C913">
            <w:pPr>
              <w:wordWrap/>
              <w:autoSpaceDE/>
              <w:autoSpaceDN/>
              <w:spacing w:line="360" w:lineRule="auto"/>
              <w:jc w:val="center"/>
              <w:outlineLvl w:val="9"/>
              <w:rPr>
                <w:rFonts w:hint="eastAsia" w:ascii="宋体" w:hAnsi="宋体" w:eastAsia="宋体" w:cs="宋体"/>
                <w:color w:val="auto"/>
                <w:sz w:val="21"/>
                <w:szCs w:val="21"/>
                <w:lang w:eastAsia="zh-CN"/>
              </w:rPr>
            </w:pPr>
          </w:p>
        </w:tc>
        <w:tc>
          <w:tcPr>
            <w:tcW w:w="978" w:type="dxa"/>
            <w:noWrap/>
            <w:vAlign w:val="center"/>
          </w:tcPr>
          <w:p w14:paraId="252A6A87">
            <w:pPr>
              <w:wordWrap/>
              <w:autoSpaceDE/>
              <w:autoSpaceDN/>
              <w:spacing w:line="360" w:lineRule="auto"/>
              <w:jc w:val="center"/>
              <w:outlineLvl w:val="9"/>
              <w:rPr>
                <w:rFonts w:hint="eastAsia" w:ascii="宋体" w:hAnsi="宋体" w:eastAsia="宋体" w:cs="宋体"/>
                <w:color w:val="auto"/>
                <w:kern w:val="0"/>
                <w:sz w:val="21"/>
                <w:szCs w:val="21"/>
                <w:lang w:eastAsia="zh-CN"/>
              </w:rPr>
            </w:pPr>
          </w:p>
        </w:tc>
        <w:tc>
          <w:tcPr>
            <w:tcW w:w="580" w:type="dxa"/>
            <w:noWrap/>
            <w:tcMar>
              <w:top w:w="20" w:type="dxa"/>
              <w:left w:w="20" w:type="dxa"/>
              <w:bottom w:w="0" w:type="dxa"/>
              <w:right w:w="20" w:type="dxa"/>
            </w:tcMar>
            <w:vAlign w:val="center"/>
          </w:tcPr>
          <w:p w14:paraId="1975D536">
            <w:pPr>
              <w:wordWrap/>
              <w:autoSpaceDE/>
              <w:autoSpaceDN/>
              <w:spacing w:line="360" w:lineRule="auto"/>
              <w:jc w:val="center"/>
              <w:outlineLvl w:val="9"/>
              <w:rPr>
                <w:rFonts w:hint="eastAsia" w:ascii="宋体" w:hAnsi="宋体" w:eastAsia="宋体" w:cs="宋体"/>
                <w:color w:val="auto"/>
                <w:sz w:val="21"/>
                <w:szCs w:val="21"/>
                <w:lang w:eastAsia="zh-CN"/>
              </w:rPr>
            </w:pPr>
          </w:p>
        </w:tc>
      </w:tr>
      <w:tr w14:paraId="35CE6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51" w:hRule="atLeast"/>
          <w:jc w:val="center"/>
        </w:trPr>
        <w:tc>
          <w:tcPr>
            <w:tcW w:w="488" w:type="dxa"/>
            <w:noWrap/>
            <w:tcMar>
              <w:top w:w="20" w:type="dxa"/>
              <w:left w:w="20" w:type="dxa"/>
              <w:bottom w:w="0" w:type="dxa"/>
              <w:right w:w="20" w:type="dxa"/>
            </w:tcMar>
            <w:vAlign w:val="center"/>
          </w:tcPr>
          <w:p w14:paraId="6D0BCFAB">
            <w:pPr>
              <w:wordWrap/>
              <w:autoSpaceDE/>
              <w:autoSpaceDN/>
              <w:spacing w:line="360" w:lineRule="auto"/>
              <w:jc w:val="center"/>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3</w:t>
            </w:r>
          </w:p>
        </w:tc>
        <w:tc>
          <w:tcPr>
            <w:tcW w:w="1805" w:type="dxa"/>
            <w:noWrap/>
            <w:tcMar>
              <w:top w:w="20" w:type="dxa"/>
              <w:left w:w="20" w:type="dxa"/>
              <w:bottom w:w="0" w:type="dxa"/>
              <w:right w:w="20" w:type="dxa"/>
            </w:tcMar>
            <w:vAlign w:val="center"/>
          </w:tcPr>
          <w:p w14:paraId="33B44464">
            <w:pPr>
              <w:wordWrap/>
              <w:autoSpaceDE/>
              <w:autoSpaceDN/>
              <w:spacing w:line="360" w:lineRule="auto"/>
              <w:jc w:val="center"/>
              <w:outlineLvl w:val="9"/>
              <w:rPr>
                <w:rFonts w:hint="eastAsia" w:ascii="宋体" w:hAnsi="宋体" w:eastAsia="宋体" w:cs="宋体"/>
                <w:color w:val="auto"/>
                <w:sz w:val="21"/>
                <w:szCs w:val="21"/>
                <w:lang w:eastAsia="zh-CN"/>
              </w:rPr>
            </w:pPr>
          </w:p>
        </w:tc>
        <w:tc>
          <w:tcPr>
            <w:tcW w:w="1980" w:type="dxa"/>
            <w:noWrap/>
            <w:tcMar>
              <w:top w:w="20" w:type="dxa"/>
              <w:left w:w="20" w:type="dxa"/>
              <w:bottom w:w="0" w:type="dxa"/>
              <w:right w:w="20" w:type="dxa"/>
            </w:tcMar>
            <w:vAlign w:val="center"/>
          </w:tcPr>
          <w:p w14:paraId="0ABA9D9C">
            <w:pPr>
              <w:wordWrap/>
              <w:autoSpaceDE/>
              <w:autoSpaceDN/>
              <w:spacing w:line="360" w:lineRule="auto"/>
              <w:jc w:val="center"/>
              <w:outlineLvl w:val="9"/>
              <w:rPr>
                <w:rFonts w:hint="eastAsia" w:ascii="宋体" w:hAnsi="宋体" w:eastAsia="宋体" w:cs="宋体"/>
                <w:color w:val="auto"/>
                <w:sz w:val="21"/>
                <w:szCs w:val="21"/>
                <w:lang w:eastAsia="zh-CN"/>
              </w:rPr>
            </w:pPr>
          </w:p>
        </w:tc>
        <w:tc>
          <w:tcPr>
            <w:tcW w:w="886" w:type="dxa"/>
            <w:noWrap/>
            <w:tcMar>
              <w:top w:w="20" w:type="dxa"/>
              <w:left w:w="20" w:type="dxa"/>
              <w:bottom w:w="0" w:type="dxa"/>
              <w:right w:w="20" w:type="dxa"/>
            </w:tcMar>
            <w:vAlign w:val="center"/>
          </w:tcPr>
          <w:p w14:paraId="40A32995">
            <w:pPr>
              <w:wordWrap/>
              <w:autoSpaceDE/>
              <w:autoSpaceDN/>
              <w:spacing w:line="360" w:lineRule="auto"/>
              <w:jc w:val="center"/>
              <w:outlineLvl w:val="9"/>
              <w:rPr>
                <w:rFonts w:hint="eastAsia" w:ascii="宋体" w:hAnsi="宋体" w:eastAsia="宋体" w:cs="宋体"/>
                <w:color w:val="auto"/>
                <w:sz w:val="21"/>
                <w:szCs w:val="21"/>
                <w:lang w:eastAsia="zh-CN"/>
              </w:rPr>
            </w:pPr>
          </w:p>
        </w:tc>
        <w:tc>
          <w:tcPr>
            <w:tcW w:w="985" w:type="dxa"/>
            <w:noWrap/>
            <w:tcMar>
              <w:top w:w="20" w:type="dxa"/>
              <w:left w:w="20" w:type="dxa"/>
              <w:bottom w:w="0" w:type="dxa"/>
              <w:right w:w="20" w:type="dxa"/>
            </w:tcMar>
            <w:vAlign w:val="center"/>
          </w:tcPr>
          <w:p w14:paraId="1919F7A2">
            <w:pPr>
              <w:wordWrap/>
              <w:autoSpaceDE/>
              <w:autoSpaceDN/>
              <w:spacing w:line="360" w:lineRule="auto"/>
              <w:jc w:val="center"/>
              <w:outlineLvl w:val="9"/>
              <w:rPr>
                <w:rFonts w:hint="eastAsia" w:ascii="宋体" w:hAnsi="宋体" w:eastAsia="宋体" w:cs="宋体"/>
                <w:color w:val="auto"/>
                <w:sz w:val="21"/>
                <w:szCs w:val="21"/>
                <w:lang w:eastAsia="zh-CN"/>
              </w:rPr>
            </w:pPr>
          </w:p>
        </w:tc>
        <w:tc>
          <w:tcPr>
            <w:tcW w:w="984" w:type="dxa"/>
            <w:noWrap/>
            <w:tcMar>
              <w:top w:w="20" w:type="dxa"/>
              <w:left w:w="20" w:type="dxa"/>
              <w:bottom w:w="0" w:type="dxa"/>
              <w:right w:w="20" w:type="dxa"/>
            </w:tcMar>
            <w:vAlign w:val="center"/>
          </w:tcPr>
          <w:p w14:paraId="3B8D1CBF">
            <w:pPr>
              <w:wordWrap/>
              <w:autoSpaceDE/>
              <w:autoSpaceDN/>
              <w:spacing w:line="360" w:lineRule="auto"/>
              <w:jc w:val="center"/>
              <w:outlineLvl w:val="9"/>
              <w:rPr>
                <w:rFonts w:hint="eastAsia" w:ascii="宋体" w:hAnsi="宋体" w:eastAsia="宋体" w:cs="宋体"/>
                <w:color w:val="auto"/>
                <w:sz w:val="21"/>
                <w:szCs w:val="21"/>
                <w:lang w:eastAsia="zh-CN"/>
              </w:rPr>
            </w:pPr>
          </w:p>
        </w:tc>
        <w:tc>
          <w:tcPr>
            <w:tcW w:w="978" w:type="dxa"/>
            <w:noWrap/>
            <w:vAlign w:val="center"/>
          </w:tcPr>
          <w:p w14:paraId="7F313579">
            <w:pPr>
              <w:wordWrap/>
              <w:autoSpaceDE/>
              <w:autoSpaceDN/>
              <w:spacing w:line="360" w:lineRule="auto"/>
              <w:jc w:val="center"/>
              <w:outlineLvl w:val="9"/>
              <w:rPr>
                <w:rFonts w:hint="eastAsia" w:ascii="宋体" w:hAnsi="宋体" w:eastAsia="宋体" w:cs="宋体"/>
                <w:color w:val="auto"/>
                <w:sz w:val="21"/>
                <w:szCs w:val="21"/>
                <w:lang w:eastAsia="zh-CN"/>
              </w:rPr>
            </w:pPr>
          </w:p>
        </w:tc>
        <w:tc>
          <w:tcPr>
            <w:tcW w:w="580" w:type="dxa"/>
            <w:noWrap/>
            <w:tcMar>
              <w:top w:w="20" w:type="dxa"/>
              <w:left w:w="20" w:type="dxa"/>
              <w:bottom w:w="0" w:type="dxa"/>
              <w:right w:w="20" w:type="dxa"/>
            </w:tcMar>
            <w:vAlign w:val="center"/>
          </w:tcPr>
          <w:p w14:paraId="1258F43E">
            <w:pPr>
              <w:wordWrap/>
              <w:autoSpaceDE/>
              <w:autoSpaceDN/>
              <w:spacing w:line="360" w:lineRule="auto"/>
              <w:jc w:val="center"/>
              <w:outlineLvl w:val="9"/>
              <w:rPr>
                <w:rFonts w:hint="eastAsia" w:ascii="宋体" w:hAnsi="宋体" w:eastAsia="宋体" w:cs="宋体"/>
                <w:color w:val="auto"/>
                <w:sz w:val="21"/>
                <w:szCs w:val="21"/>
                <w:lang w:eastAsia="zh-CN"/>
              </w:rPr>
            </w:pPr>
          </w:p>
        </w:tc>
      </w:tr>
      <w:tr w14:paraId="02C05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4273" w:type="dxa"/>
            <w:gridSpan w:val="3"/>
            <w:vMerge w:val="restart"/>
            <w:noWrap/>
            <w:tcMar>
              <w:top w:w="20" w:type="dxa"/>
              <w:left w:w="20" w:type="dxa"/>
              <w:bottom w:w="0" w:type="dxa"/>
              <w:right w:w="20" w:type="dxa"/>
            </w:tcMar>
            <w:vAlign w:val="center"/>
          </w:tcPr>
          <w:p w14:paraId="351B2A2B">
            <w:pPr>
              <w:wordWrap/>
              <w:autoSpaceDE/>
              <w:autoSpaceDN/>
              <w:spacing w:line="360" w:lineRule="auto"/>
              <w:jc w:val="center"/>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合同金额(元)</w:t>
            </w:r>
          </w:p>
        </w:tc>
        <w:tc>
          <w:tcPr>
            <w:tcW w:w="4413" w:type="dxa"/>
            <w:gridSpan w:val="5"/>
            <w:noWrap/>
            <w:tcMar>
              <w:top w:w="20" w:type="dxa"/>
              <w:left w:w="20" w:type="dxa"/>
              <w:bottom w:w="0" w:type="dxa"/>
              <w:right w:w="20" w:type="dxa"/>
            </w:tcMar>
            <w:vAlign w:val="center"/>
          </w:tcPr>
          <w:p w14:paraId="2154CC27">
            <w:pPr>
              <w:wordWrap/>
              <w:autoSpaceDE/>
              <w:autoSpaceDN/>
              <w:spacing w:line="360" w:lineRule="auto"/>
              <w:jc w:val="left"/>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 xml:space="preserve">大写： </w:t>
            </w:r>
          </w:p>
        </w:tc>
      </w:tr>
      <w:tr w14:paraId="04B2E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4273" w:type="dxa"/>
            <w:gridSpan w:val="3"/>
            <w:vMerge w:val="continue"/>
            <w:noWrap/>
            <w:tcMar>
              <w:top w:w="20" w:type="dxa"/>
              <w:left w:w="20" w:type="dxa"/>
              <w:bottom w:w="0" w:type="dxa"/>
              <w:right w:w="20" w:type="dxa"/>
            </w:tcMar>
            <w:vAlign w:val="center"/>
          </w:tcPr>
          <w:p w14:paraId="766D9383">
            <w:pPr>
              <w:wordWrap/>
              <w:autoSpaceDE/>
              <w:autoSpaceDN/>
              <w:spacing w:line="360" w:lineRule="auto"/>
              <w:jc w:val="center"/>
              <w:outlineLvl w:val="9"/>
              <w:rPr>
                <w:rFonts w:hint="eastAsia" w:ascii="宋体" w:hAnsi="宋体" w:eastAsia="宋体" w:cs="宋体"/>
                <w:color w:val="auto"/>
                <w:sz w:val="21"/>
                <w:szCs w:val="21"/>
                <w:lang w:eastAsia="zh-CN"/>
              </w:rPr>
            </w:pPr>
          </w:p>
        </w:tc>
        <w:tc>
          <w:tcPr>
            <w:tcW w:w="4413" w:type="dxa"/>
            <w:gridSpan w:val="5"/>
            <w:noWrap/>
            <w:tcMar>
              <w:top w:w="20" w:type="dxa"/>
              <w:left w:w="20" w:type="dxa"/>
              <w:bottom w:w="0" w:type="dxa"/>
              <w:right w:w="20" w:type="dxa"/>
            </w:tcMar>
            <w:vAlign w:val="center"/>
          </w:tcPr>
          <w:p w14:paraId="0A9E4EE8">
            <w:pPr>
              <w:wordWrap/>
              <w:autoSpaceDE/>
              <w:autoSpaceDN/>
              <w:spacing w:line="360" w:lineRule="auto"/>
              <w:jc w:val="left"/>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小写：   元</w:t>
            </w:r>
          </w:p>
        </w:tc>
      </w:tr>
    </w:tbl>
    <w:p w14:paraId="399660E6">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2.上述合同金额为一次性包干总价，不受市场价格的变化和影响，在合同不发生变更时作为付款结算的依据。</w:t>
      </w:r>
    </w:p>
    <w:p w14:paraId="10DFBCB8">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3.该包干总价为乙方按照合同约定完成合同全部义务后所适用的总价格，包括但不限于货物费（含备品备件费）、包装费、运杂费（含搬运、装卸、保险费等）、工程费、材料费、全部税费、安装调试费等相关费用。除本合同明确约定的费用外，甲方无需支付任何额外费用和承担任何额外义务。</w:t>
      </w:r>
    </w:p>
    <w:p w14:paraId="2BE0931C">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4.在实际合同履行过程中，如果乙方未完全履行合同义务或履行的合同义务不符合约定的，则未履行或履行不符合合同约定的内容所对应的价款由甲方直接从上述约定的包干价中扣除。</w:t>
      </w:r>
    </w:p>
    <w:p w14:paraId="5EDE1D13">
      <w:pPr>
        <w:widowControl/>
        <w:wordWrap/>
        <w:autoSpaceDE/>
        <w:autoSpaceDN/>
        <w:spacing w:line="480" w:lineRule="exact"/>
        <w:ind w:firstLine="482"/>
        <w:jc w:val="left"/>
        <w:outlineLvl w:val="9"/>
        <w:rPr>
          <w:rFonts w:hint="eastAsia" w:ascii="宋体" w:hAnsi="宋体" w:eastAsia="宋体" w:cs="宋体"/>
          <w:b/>
          <w:color w:val="auto"/>
          <w:kern w:val="0"/>
          <w:sz w:val="28"/>
          <w:szCs w:val="28"/>
          <w:lang w:eastAsia="zh-CN"/>
        </w:rPr>
      </w:pPr>
      <w:r>
        <w:rPr>
          <w:rFonts w:hint="eastAsia" w:ascii="宋体" w:hAnsi="宋体" w:eastAsia="宋体" w:cs="宋体"/>
          <w:b/>
          <w:color w:val="auto"/>
          <w:kern w:val="0"/>
          <w:sz w:val="28"/>
          <w:szCs w:val="28"/>
          <w:lang w:eastAsia="zh-CN"/>
        </w:rPr>
        <w:t>二、货物质量</w:t>
      </w:r>
    </w:p>
    <w:p w14:paraId="403DB34B">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1.乙方提供的所有货物的技术规格和参数、指标要求应等于或优于招标文件、投标文件技术规格和参数、指标要求（设备的技术参数、指标详见附件1）。若技术规格要求中无相应规定，则应符合相应的国家有关部门最新颁布的相应正式标准。</w:t>
      </w:r>
    </w:p>
    <w:p w14:paraId="2A4B4363">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2.乙方提供的设备及配套产品须</w:t>
      </w:r>
      <w:r>
        <w:rPr>
          <w:rFonts w:hint="eastAsia" w:ascii="宋体" w:hAnsi="宋体" w:eastAsia="宋体" w:cs="宋体"/>
          <w:color w:val="auto"/>
          <w:sz w:val="24"/>
          <w:szCs w:val="24"/>
          <w:lang w:eastAsia="zh-CN"/>
        </w:rPr>
        <w:t>符合国家有关质量标准、规范和环保要求。</w:t>
      </w:r>
    </w:p>
    <w:p w14:paraId="60214D61">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3.乙方提供的设备及配套产品，必须是合同规定厂家制造的、合格、全新、未曾使用的产品，产品内部无损坏，外表无磨损，内部包装无破损。整套产品必须通过由国家技术监督部门授权的计量检定单位的检定，并附有检定使用合格证书。</w:t>
      </w:r>
    </w:p>
    <w:p w14:paraId="1D1DE875">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4.乙方提供的设备及配套产品必须能按国家标准供应、检测、调试，确保产品技术指标满足使用要求。</w:t>
      </w:r>
    </w:p>
    <w:p w14:paraId="6A4B42B7">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5.除非技术规范中另有规定，计量单位均采用中华人民共和国法定计量单位。</w:t>
      </w:r>
    </w:p>
    <w:p w14:paraId="6CE02874">
      <w:pPr>
        <w:widowControl/>
        <w:wordWrap/>
        <w:autoSpaceDE/>
        <w:autoSpaceDN/>
        <w:spacing w:line="480" w:lineRule="exact"/>
        <w:ind w:firstLine="482"/>
        <w:jc w:val="left"/>
        <w:outlineLvl w:val="9"/>
        <w:rPr>
          <w:rFonts w:hint="eastAsia" w:ascii="宋体" w:hAnsi="宋体" w:eastAsia="宋体" w:cs="宋体"/>
          <w:b/>
          <w:color w:val="auto"/>
          <w:kern w:val="0"/>
          <w:sz w:val="28"/>
          <w:szCs w:val="28"/>
          <w:lang w:eastAsia="zh-CN"/>
        </w:rPr>
      </w:pPr>
      <w:r>
        <w:rPr>
          <w:rFonts w:hint="eastAsia" w:ascii="宋体" w:hAnsi="宋体" w:eastAsia="宋体" w:cs="宋体"/>
          <w:b/>
          <w:color w:val="auto"/>
          <w:kern w:val="0"/>
          <w:sz w:val="28"/>
          <w:szCs w:val="28"/>
          <w:lang w:eastAsia="zh-CN"/>
        </w:rPr>
        <w:t>三、交货时间及交货地点</w:t>
      </w:r>
    </w:p>
    <w:p w14:paraId="41848372">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1.交货（安装）地点：</w:t>
      </w:r>
      <w:r>
        <w:rPr>
          <w:rFonts w:hint="eastAsia" w:ascii="宋体" w:hAnsi="宋体" w:eastAsia="宋体" w:cs="宋体"/>
          <w:color w:val="auto"/>
          <w:kern w:val="0"/>
          <w:sz w:val="24"/>
          <w:szCs w:val="24"/>
          <w:u w:val="single"/>
          <w:lang w:eastAsia="zh-CN"/>
        </w:rPr>
        <w:t xml:space="preserve">                     </w:t>
      </w:r>
      <w:r>
        <w:rPr>
          <w:rFonts w:hint="eastAsia" w:ascii="宋体" w:hAnsi="宋体" w:eastAsia="宋体" w:cs="宋体"/>
          <w:color w:val="auto"/>
          <w:sz w:val="24"/>
          <w:szCs w:val="24"/>
          <w:lang w:eastAsia="zh-CN"/>
        </w:rPr>
        <w:t>（具体到房间）。乙方要提供整套合格产品，切实做好安全防护相关工作，并负责安排卸货和安装所需工具以及人员。</w:t>
      </w:r>
    </w:p>
    <w:p w14:paraId="197FC3F7">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2.交货日期：20</w:t>
      </w:r>
      <w:r>
        <w:rPr>
          <w:rFonts w:hint="eastAsia" w:ascii="宋体" w:hAnsi="宋体" w:eastAsia="宋体" w:cs="宋体"/>
          <w:color w:val="auto"/>
          <w:kern w:val="0"/>
          <w:sz w:val="24"/>
          <w:szCs w:val="24"/>
          <w:u w:val="single"/>
          <w:lang w:eastAsia="zh-CN"/>
        </w:rPr>
        <w:t xml:space="preserve">   </w:t>
      </w:r>
      <w:r>
        <w:rPr>
          <w:rFonts w:hint="eastAsia" w:ascii="宋体" w:hAnsi="宋体" w:eastAsia="宋体" w:cs="宋体"/>
          <w:color w:val="auto"/>
          <w:kern w:val="0"/>
          <w:sz w:val="24"/>
          <w:szCs w:val="24"/>
          <w:lang w:eastAsia="zh-CN"/>
        </w:rPr>
        <w:t>年</w:t>
      </w:r>
      <w:r>
        <w:rPr>
          <w:rFonts w:hint="eastAsia" w:ascii="宋体" w:hAnsi="宋体" w:eastAsia="宋体" w:cs="宋体"/>
          <w:color w:val="auto"/>
          <w:kern w:val="0"/>
          <w:sz w:val="24"/>
          <w:szCs w:val="24"/>
          <w:u w:val="single"/>
          <w:lang w:eastAsia="zh-CN"/>
        </w:rPr>
        <w:t xml:space="preserve">   </w:t>
      </w:r>
      <w:r>
        <w:rPr>
          <w:rFonts w:hint="eastAsia" w:ascii="宋体" w:hAnsi="宋体" w:eastAsia="宋体" w:cs="宋体"/>
          <w:color w:val="auto"/>
          <w:kern w:val="0"/>
          <w:sz w:val="24"/>
          <w:szCs w:val="24"/>
          <w:lang w:eastAsia="zh-CN"/>
        </w:rPr>
        <w:t>月</w:t>
      </w:r>
      <w:r>
        <w:rPr>
          <w:rFonts w:hint="eastAsia" w:ascii="宋体" w:hAnsi="宋体" w:eastAsia="宋体" w:cs="宋体"/>
          <w:color w:val="auto"/>
          <w:kern w:val="0"/>
          <w:sz w:val="24"/>
          <w:szCs w:val="24"/>
          <w:u w:val="single"/>
          <w:lang w:eastAsia="zh-CN"/>
        </w:rPr>
        <w:t xml:space="preserve">   </w:t>
      </w:r>
      <w:r>
        <w:rPr>
          <w:rFonts w:hint="eastAsia" w:ascii="宋体" w:hAnsi="宋体" w:eastAsia="宋体" w:cs="宋体"/>
          <w:color w:val="auto"/>
          <w:kern w:val="0"/>
          <w:sz w:val="24"/>
          <w:szCs w:val="24"/>
          <w:lang w:eastAsia="zh-CN"/>
        </w:rPr>
        <w:t>日前或合同签订后</w:t>
      </w:r>
      <w:r>
        <w:rPr>
          <w:rFonts w:hint="eastAsia" w:ascii="宋体" w:hAnsi="宋体" w:eastAsia="宋体" w:cs="宋体"/>
          <w:color w:val="auto"/>
          <w:kern w:val="0"/>
          <w:sz w:val="24"/>
          <w:szCs w:val="24"/>
          <w:u w:val="single"/>
          <w:lang w:eastAsia="zh-CN"/>
        </w:rPr>
        <w:t xml:space="preserve">   </w:t>
      </w:r>
      <w:r>
        <w:rPr>
          <w:rFonts w:hint="eastAsia" w:ascii="宋体" w:hAnsi="宋体" w:eastAsia="宋体" w:cs="宋体"/>
          <w:color w:val="auto"/>
          <w:kern w:val="0"/>
          <w:sz w:val="24"/>
          <w:szCs w:val="24"/>
          <w:lang w:eastAsia="zh-CN"/>
        </w:rPr>
        <w:t>个工作日内，乙方负责将产品运输到交货（安装）地点，并按照验收标准和验收程序完成设备的安装、调试和验收工作。乙方交货时须保证产品包装完好，安装调试及验收时设备外观无划痕，设备质量完好。</w:t>
      </w:r>
    </w:p>
    <w:p w14:paraId="41DFBFD3">
      <w:pPr>
        <w:widowControl/>
        <w:wordWrap/>
        <w:autoSpaceDE/>
        <w:autoSpaceDN/>
        <w:spacing w:line="480" w:lineRule="exact"/>
        <w:ind w:firstLine="482"/>
        <w:jc w:val="left"/>
        <w:outlineLvl w:val="9"/>
        <w:rPr>
          <w:rFonts w:hint="eastAsia" w:ascii="宋体" w:hAnsi="宋体" w:eastAsia="宋体" w:cs="宋体"/>
          <w:b/>
          <w:color w:val="auto"/>
          <w:kern w:val="0"/>
          <w:sz w:val="28"/>
          <w:szCs w:val="28"/>
          <w:lang w:eastAsia="zh-CN"/>
        </w:rPr>
      </w:pPr>
      <w:r>
        <w:rPr>
          <w:rFonts w:hint="eastAsia" w:ascii="宋体" w:hAnsi="宋体" w:eastAsia="宋体" w:cs="宋体"/>
          <w:b/>
          <w:color w:val="auto"/>
          <w:kern w:val="0"/>
          <w:sz w:val="28"/>
          <w:szCs w:val="28"/>
          <w:lang w:eastAsia="zh-CN"/>
        </w:rPr>
        <w:t>四、货物交付及验收</w:t>
      </w:r>
    </w:p>
    <w:p w14:paraId="442164F8">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b/>
          <w:bCs/>
          <w:color w:val="auto"/>
          <w:kern w:val="0"/>
          <w:sz w:val="24"/>
          <w:szCs w:val="24"/>
          <w:lang w:eastAsia="zh-CN"/>
        </w:rPr>
        <w:t>1.货物交付</w:t>
      </w:r>
    </w:p>
    <w:p w14:paraId="3D61744A">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1.1乙方应严格按上述《标的明细清单》中确定的设备名称、型号与规格、产地、数量及配套内容进行供货，并按时将货物运送到合同指定的地点，负责到货设备的安装与调试，达到正常使用；乙方负责为甲方培训操作、维护人员，质保期内负责指导仪器设备的操作使用和保养维修，做好售后服务工作。</w:t>
      </w:r>
    </w:p>
    <w:p w14:paraId="79FEE3E6">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1.2乙方负责提供货物（设备）相应的技术资料，包括产品合格证、产品保修单、安装使用及维护说明书以及运输装箱清单等,并对所有技术材料的真实性、准确性、先进性、完整性负责。</w:t>
      </w:r>
    </w:p>
    <w:p w14:paraId="60B68462">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1.3乙方提供的设备及配套产品包装必须符合国家标准或行业标准，满足航空、铁路或公路运输以及货物装卸要求，乙方若因自身原因出现任何安全事故，责任均由乙方承担。同时，对于在此过程中由于乙方未尽义务，造成与甲方有关人或物的损伤，乙方应全部承担责任。</w:t>
      </w:r>
    </w:p>
    <w:p w14:paraId="40248AD3">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1.4乙方须保证所提供的货物经正确安装、正常运转和保养，在其使用寿命期内须具有符合质量要求和产品说明书的性能。在产品质量保证期之内，乙方须对由于设计、工艺或材料的缺陷而发生的任何不足或故障负责，并免费予以改进或更换。</w:t>
      </w:r>
    </w:p>
    <w:p w14:paraId="458F6A6A">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1.5根据甲方按检验标准自己检验结果或委托有资质的相关质检机构的检验结果，发现货物的数量、质量、规格与合同不符；或者在质量保证期内，证实货物存在缺陷，包括潜在的缺陷或使用不符合要求的材料等，甲方应书面通知乙方。接到上述通知后，乙方应及时免费更换或修理破损货物。乙方在甲方发出质量异议通知后，未作答复，甲方在通知书中所提出的要求应视为已被乙方接受。</w:t>
      </w:r>
    </w:p>
    <w:p w14:paraId="40F8E533">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乙方在收到通知后虽答复，但没有弥补缺陷，甲方可采取必要的补救措施，但由此引发的风险和费用将由乙方承担。甲方可从合同款或乙方提交的履约保证金中扣款，不足部分，甲方有权要求乙方赔偿。甲方根据合同规定对乙方行使的其他权力不受影响。</w:t>
      </w:r>
    </w:p>
    <w:p w14:paraId="1965BFF4">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1.6乙方应向甲方提供有关标准的中文文本。</w:t>
      </w:r>
    </w:p>
    <w:p w14:paraId="17D363D3">
      <w:pPr>
        <w:widowControl/>
        <w:wordWrap/>
        <w:autoSpaceDE/>
        <w:autoSpaceDN/>
        <w:spacing w:line="480" w:lineRule="exact"/>
        <w:ind w:firstLine="482"/>
        <w:jc w:val="left"/>
        <w:outlineLvl w:val="9"/>
        <w:rPr>
          <w:rFonts w:hint="eastAsia" w:ascii="宋体" w:hAnsi="宋体" w:eastAsia="宋体" w:cs="宋体"/>
          <w:b/>
          <w:bCs/>
          <w:color w:val="auto"/>
          <w:kern w:val="0"/>
          <w:sz w:val="24"/>
          <w:szCs w:val="24"/>
          <w:lang w:eastAsia="zh-CN"/>
        </w:rPr>
      </w:pPr>
      <w:r>
        <w:rPr>
          <w:rFonts w:hint="eastAsia" w:ascii="宋体" w:hAnsi="宋体" w:eastAsia="宋体" w:cs="宋体"/>
          <w:b/>
          <w:bCs/>
          <w:color w:val="auto"/>
          <w:kern w:val="0"/>
          <w:sz w:val="24"/>
          <w:szCs w:val="24"/>
          <w:lang w:eastAsia="zh-CN"/>
        </w:rPr>
        <w:t>2.验收</w:t>
      </w:r>
    </w:p>
    <w:p w14:paraId="1C32B6C6">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2.1验收方法及标准：</w:t>
      </w:r>
      <w:r>
        <w:rPr>
          <w:rFonts w:hint="eastAsia" w:ascii="宋体" w:hAnsi="宋体" w:eastAsia="宋体" w:cs="宋体"/>
          <w:color w:val="auto"/>
          <w:kern w:val="0"/>
          <w:sz w:val="24"/>
          <w:szCs w:val="24"/>
          <w:u w:val="single"/>
          <w:lang w:eastAsia="zh-CN"/>
        </w:rPr>
        <w:t xml:space="preserve"> 具体详见附件2 </w:t>
      </w:r>
      <w:r>
        <w:rPr>
          <w:rFonts w:hint="eastAsia" w:ascii="宋体" w:hAnsi="宋体" w:eastAsia="宋体" w:cs="宋体"/>
          <w:color w:val="auto"/>
          <w:kern w:val="0"/>
          <w:sz w:val="24"/>
          <w:szCs w:val="24"/>
          <w:lang w:eastAsia="zh-CN"/>
        </w:rPr>
        <w:t>。</w:t>
      </w:r>
    </w:p>
    <w:p w14:paraId="1B381389">
      <w:pPr>
        <w:widowControl/>
        <w:wordWrap/>
        <w:autoSpaceDE/>
        <w:autoSpaceDN/>
        <w:spacing w:line="480" w:lineRule="exact"/>
        <w:ind w:firstLine="482"/>
        <w:jc w:val="left"/>
        <w:outlineLvl w:val="9"/>
        <w:rPr>
          <w:rFonts w:hint="eastAsia" w:ascii="宋体" w:hAnsi="宋体" w:eastAsia="宋体" w:cs="宋体"/>
          <w:b/>
          <w:color w:val="auto"/>
          <w:kern w:val="0"/>
          <w:sz w:val="28"/>
          <w:szCs w:val="28"/>
          <w:lang w:eastAsia="zh-CN"/>
        </w:rPr>
      </w:pPr>
      <w:r>
        <w:rPr>
          <w:rFonts w:hint="eastAsia" w:ascii="宋体" w:hAnsi="宋体" w:eastAsia="宋体" w:cs="宋体"/>
          <w:b/>
          <w:color w:val="auto"/>
          <w:kern w:val="0"/>
          <w:sz w:val="28"/>
          <w:szCs w:val="28"/>
          <w:lang w:eastAsia="zh-CN"/>
        </w:rPr>
        <w:t>五、合同价款支付及履约保证金</w:t>
      </w:r>
    </w:p>
    <w:p w14:paraId="399D94F4">
      <w:pPr>
        <w:wordWrap/>
        <w:autoSpaceDE/>
        <w:autoSpaceDN/>
        <w:snapToGrid w:val="0"/>
        <w:spacing w:line="480" w:lineRule="exact"/>
        <w:ind w:firstLine="482" w:firstLineChars="200"/>
        <w:outlineLvl w:val="9"/>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1. 合同价款支付</w:t>
      </w:r>
    </w:p>
    <w:p w14:paraId="491E0D8D">
      <w:pPr>
        <w:wordWrap/>
        <w:autoSpaceDE/>
        <w:autoSpaceDN/>
        <w:snapToGrid w:val="0"/>
        <w:spacing w:line="480" w:lineRule="exact"/>
        <w:ind w:firstLine="482" w:firstLineChars="200"/>
        <w:outlineLvl w:val="9"/>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1.1合同价款支付方式</w:t>
      </w:r>
    </w:p>
    <w:p w14:paraId="5D79A350">
      <w:pPr>
        <w:wordWrap/>
        <w:autoSpaceDE/>
        <w:autoSpaceDN/>
        <w:snapToGrid w:val="0"/>
        <w:spacing w:line="480" w:lineRule="exact"/>
        <w:ind w:firstLine="482" w:firstLineChars="200"/>
        <w:outlineLvl w:val="9"/>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签订合同后1</w:t>
      </w:r>
      <w:r>
        <w:rPr>
          <w:rFonts w:hint="eastAsia" w:hAnsi="宋体" w:cs="宋体"/>
          <w:b/>
          <w:bCs/>
          <w:color w:val="auto"/>
          <w:sz w:val="24"/>
          <w:szCs w:val="24"/>
          <w:lang w:val="en-US" w:eastAsia="zh-CN"/>
        </w:rPr>
        <w:t>0个工作</w:t>
      </w:r>
      <w:r>
        <w:rPr>
          <w:rFonts w:hint="eastAsia" w:ascii="宋体" w:hAnsi="宋体" w:eastAsia="宋体" w:cs="宋体"/>
          <w:b/>
          <w:bCs/>
          <w:color w:val="auto"/>
          <w:sz w:val="24"/>
          <w:szCs w:val="24"/>
          <w:lang w:eastAsia="zh-CN"/>
        </w:rPr>
        <w:t>日内，乙方提供经甲方认可的合同金额100%的预付款保函或双方认可的其他担保措施，支付合同金额的100%。</w:t>
      </w:r>
    </w:p>
    <w:p w14:paraId="4C87F882">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1.2甲方向乙方付款时，乙方须向甲方出具合同总价款的增值税专用发票。</w:t>
      </w:r>
    </w:p>
    <w:p w14:paraId="2EF161D3">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2.履约保证金</w:t>
      </w:r>
    </w:p>
    <w:p w14:paraId="5C4AD1D8">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2.1乙方应在收到中标（成交）通知书后3个工作日内，向甲方提交合同总价5%的履约保证金；</w:t>
      </w:r>
    </w:p>
    <w:p w14:paraId="7B6D8DED">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2.2履约保证金应使用人民币，按</w:t>
      </w:r>
      <w:r>
        <w:rPr>
          <w:rFonts w:hint="eastAsia" w:ascii="宋体" w:hAnsi="宋体" w:eastAsia="宋体" w:cs="宋体"/>
          <w:color w:val="auto"/>
          <w:kern w:val="0"/>
          <w:sz w:val="24"/>
          <w:szCs w:val="24"/>
          <w:u w:val="single"/>
          <w:lang w:eastAsia="zh-CN"/>
        </w:rPr>
        <w:t xml:space="preserve">            </w:t>
      </w:r>
      <w:r>
        <w:rPr>
          <w:rFonts w:hint="eastAsia" w:ascii="宋体" w:hAnsi="宋体" w:eastAsia="宋体" w:cs="宋体"/>
          <w:color w:val="auto"/>
          <w:kern w:val="0"/>
          <w:sz w:val="24"/>
          <w:szCs w:val="24"/>
          <w:lang w:eastAsia="zh-CN"/>
        </w:rPr>
        <w:t>方式提交；</w:t>
      </w:r>
    </w:p>
    <w:p w14:paraId="21274013">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2.3项目全部完成并由甲方验收合格后，乙方申请，甲方应把履约保证金（无息）退还乙方。</w:t>
      </w:r>
    </w:p>
    <w:p w14:paraId="735D7D45">
      <w:pPr>
        <w:widowControl/>
        <w:wordWrap/>
        <w:autoSpaceDE/>
        <w:autoSpaceDN/>
        <w:spacing w:line="480" w:lineRule="exact"/>
        <w:ind w:firstLine="482"/>
        <w:jc w:val="left"/>
        <w:outlineLvl w:val="9"/>
        <w:rPr>
          <w:rFonts w:hint="eastAsia" w:ascii="宋体" w:hAnsi="宋体" w:eastAsia="宋体" w:cs="宋体"/>
          <w:b/>
          <w:color w:val="auto"/>
          <w:kern w:val="0"/>
          <w:sz w:val="28"/>
          <w:szCs w:val="28"/>
          <w:lang w:eastAsia="zh-CN"/>
        </w:rPr>
      </w:pPr>
      <w:r>
        <w:rPr>
          <w:rFonts w:hint="eastAsia" w:ascii="宋体" w:hAnsi="宋体" w:eastAsia="宋体" w:cs="宋体"/>
          <w:b/>
          <w:color w:val="auto"/>
          <w:kern w:val="0"/>
          <w:sz w:val="28"/>
          <w:szCs w:val="28"/>
          <w:lang w:eastAsia="zh-CN"/>
        </w:rPr>
        <w:t>六、质量保证期及售后服务</w:t>
      </w:r>
    </w:p>
    <w:p w14:paraId="5DDC1BD9">
      <w:pPr>
        <w:widowControl/>
        <w:wordWrap/>
        <w:autoSpaceDE/>
        <w:autoSpaceDN/>
        <w:spacing w:line="480" w:lineRule="exact"/>
        <w:ind w:firstLine="482"/>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kern w:val="0"/>
          <w:sz w:val="24"/>
          <w:szCs w:val="24"/>
          <w:lang w:eastAsia="zh-CN"/>
        </w:rPr>
        <w:t>1.</w:t>
      </w:r>
      <w:r>
        <w:rPr>
          <w:rFonts w:hint="eastAsia" w:ascii="宋体" w:hAnsi="宋体" w:eastAsia="宋体" w:cs="宋体"/>
          <w:color w:val="auto"/>
          <w:sz w:val="24"/>
          <w:szCs w:val="24"/>
          <w:lang w:eastAsia="zh-CN"/>
        </w:rPr>
        <w:t>产品质量保证期为甲方最终设备验收合格后</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年。质量保证期内乙方免费维修，包括设备的零配件及国内不能解决的故障需要返回生产厂维修时所发生的一切费用。须更换的零配件乙方保证原厂原装，如遇系统更新升级，乙方免费负责更新原装正版系统。质保期满后，乙方负责设备的终身维修。甲方如需更换设备的零配件，乙方保证更换的零配件为原厂原装，并只收取零配件的成本费，同时由乙方负责更换调试合格。</w:t>
      </w:r>
    </w:p>
    <w:p w14:paraId="3E60281B">
      <w:pPr>
        <w:widowControl/>
        <w:wordWrap/>
        <w:autoSpaceDE/>
        <w:autoSpaceDN/>
        <w:spacing w:line="480" w:lineRule="exact"/>
        <w:ind w:firstLine="482"/>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2.质保期内乙方对甲方提出的服务响应不得超出</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小时。</w:t>
      </w:r>
    </w:p>
    <w:p w14:paraId="7D5D857D">
      <w:pPr>
        <w:widowControl/>
        <w:wordWrap/>
        <w:autoSpaceDE/>
        <w:autoSpaceDN/>
        <w:spacing w:line="480" w:lineRule="exact"/>
        <w:ind w:firstLine="482"/>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3.售后服务：具体服务详见乙方投标文件中乙方的承诺书。</w:t>
      </w:r>
    </w:p>
    <w:p w14:paraId="1192E19E">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sz w:val="24"/>
          <w:szCs w:val="24"/>
          <w:lang w:eastAsia="zh-CN"/>
        </w:rPr>
        <w:t>4.人员培训：乙方终身免费为甲方培训设备使用人员，培训内容包括：设备操作、维护、简单维修等。</w:t>
      </w:r>
    </w:p>
    <w:p w14:paraId="3B661781">
      <w:pPr>
        <w:widowControl/>
        <w:wordWrap/>
        <w:autoSpaceDE/>
        <w:autoSpaceDN/>
        <w:spacing w:line="480" w:lineRule="exact"/>
        <w:ind w:firstLine="482"/>
        <w:jc w:val="left"/>
        <w:outlineLvl w:val="9"/>
        <w:rPr>
          <w:rFonts w:hint="eastAsia" w:ascii="宋体" w:hAnsi="宋体" w:eastAsia="宋体" w:cs="宋体"/>
          <w:b/>
          <w:color w:val="auto"/>
          <w:kern w:val="0"/>
          <w:sz w:val="28"/>
          <w:szCs w:val="28"/>
          <w:lang w:eastAsia="zh-CN"/>
        </w:rPr>
      </w:pPr>
      <w:r>
        <w:rPr>
          <w:rFonts w:hint="eastAsia" w:ascii="宋体" w:hAnsi="宋体" w:eastAsia="宋体" w:cs="宋体"/>
          <w:b/>
          <w:color w:val="auto"/>
          <w:kern w:val="0"/>
          <w:sz w:val="28"/>
          <w:szCs w:val="28"/>
          <w:lang w:eastAsia="zh-CN"/>
        </w:rPr>
        <w:t>七、违约责任</w:t>
      </w:r>
    </w:p>
    <w:p w14:paraId="725495BD">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1.合同生效后，甲乙双方应按合同规定认真履约。合同履约责任只涉及合同甲乙双方，不考虑第三方因素。</w:t>
      </w:r>
    </w:p>
    <w:p w14:paraId="1551386B">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2.除不可抗力原因外，如遇下列情况之一者，乙方所缴纳的履约保证金、产品质量保证金甲方有权不予退还，作为对甲方的赔偿，且甲方有权解除本合同：</w:t>
      </w:r>
    </w:p>
    <w:p w14:paraId="7F13CE4A">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（1）合同签订后不能按合同时限要求供货或安装调试；</w:t>
      </w:r>
    </w:p>
    <w:p w14:paraId="515B09E0">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（2）所供设备不合格、与合同不符；</w:t>
      </w:r>
    </w:p>
    <w:p w14:paraId="52AAEE95">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（3）不能按合同履约；</w:t>
      </w:r>
    </w:p>
    <w:p w14:paraId="121A7716">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（4）因产品质量原因，不能通过验收。</w:t>
      </w:r>
    </w:p>
    <w:p w14:paraId="09C294FD">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3.如乙方产品质量不符合国家标准、行业内控标准或本合同技术附件要求的，甲方有权退货，乙方应退还全部货款，并承担甲方合同总价款10％的违约金及其他损失。</w:t>
      </w:r>
    </w:p>
    <w:p w14:paraId="53F2102F">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4.在合同规定的供货期内乙方未全部交货，除应在</w:t>
      </w:r>
      <w:r>
        <w:rPr>
          <w:rFonts w:hint="eastAsia" w:ascii="宋体" w:hAnsi="宋体" w:eastAsia="宋体" w:cs="宋体"/>
          <w:color w:val="auto"/>
          <w:kern w:val="0"/>
          <w:sz w:val="24"/>
          <w:szCs w:val="24"/>
          <w:u w:val="single"/>
          <w:lang w:eastAsia="zh-CN"/>
        </w:rPr>
        <w:t xml:space="preserve">     </w:t>
      </w:r>
      <w:r>
        <w:rPr>
          <w:rFonts w:hint="eastAsia" w:ascii="宋体" w:hAnsi="宋体" w:eastAsia="宋体" w:cs="宋体"/>
          <w:color w:val="auto"/>
          <w:kern w:val="0"/>
          <w:sz w:val="24"/>
          <w:szCs w:val="24"/>
          <w:lang w:eastAsia="zh-CN"/>
        </w:rPr>
        <w:t>天内如数补齐外，还应承担合同总款的10％违约金。</w:t>
      </w:r>
    </w:p>
    <w:p w14:paraId="22C5562C">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5.乙方对货物不按招标文件要求，擅自更换，除恢复原招标产品外，应承担更换部分价款10%的违约金；乙方如对产品材质、随机配品以次充好，除全部按要求恢复外，应承担此部分价款10%的违约金。</w:t>
      </w:r>
    </w:p>
    <w:p w14:paraId="29B51373">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6.除不可抗力因素外，乙方对所供产品出现的问题推诿、拖延，24小时未作出服务响应且乙方没有按照合同规定的时间交货和提供服务，甲方可要求乙方支付违约金。违约金每日按合同总价款的5‰计收。否则，甲方有权拒绝乙方以后参加学校竞标。</w:t>
      </w:r>
    </w:p>
    <w:p w14:paraId="501A6AB0">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7.合同履约过程中，甲方应积极配合乙方进行设备验收以及验收前的外围配套等工作。否则，因此导致设备不能按期验收时，不能追究乙方责任；正常情况下应在设备验收合格后15天内按规定向乙方付款，最长时间不能超过30天。否则，每超过一周应向乙方支付合同应付款5‰的滞纳金。</w:t>
      </w:r>
    </w:p>
    <w:p w14:paraId="005AE87D">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8.出现下列情形之一的，视为乙方违约。甲方可向乙方发出书面通知，部分或全部终止合同，同时保留向乙方索赔的权利，具体情形如下：</w:t>
      </w:r>
    </w:p>
    <w:p w14:paraId="4252AEDE">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 xml:space="preserve">（1）乙方未能在合同规定的限期或甲方同意延长的限期内，提供全部或部分货物的； </w:t>
      </w:r>
    </w:p>
    <w:p w14:paraId="0585DA4A">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（2）乙方未能履行合同规定的其它主要义务的；</w:t>
      </w:r>
    </w:p>
    <w:p w14:paraId="5A380C48">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（3）乙方在本合同履行过程中有欺诈行为的。</w:t>
      </w:r>
    </w:p>
    <w:p w14:paraId="334EFAFA">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9.索赔：</w:t>
      </w:r>
      <w:r>
        <w:rPr>
          <w:rFonts w:hint="eastAsia" w:ascii="宋体" w:hAnsi="宋体" w:eastAsia="宋体" w:cs="宋体"/>
          <w:color w:val="auto"/>
          <w:kern w:val="0"/>
          <w:sz w:val="24"/>
          <w:szCs w:val="24"/>
          <w:u w:val="single"/>
          <w:lang w:eastAsia="zh-CN"/>
        </w:rPr>
        <w:t xml:space="preserve"> 具体详见附件3 </w:t>
      </w:r>
      <w:r>
        <w:rPr>
          <w:rFonts w:hint="eastAsia" w:ascii="宋体" w:hAnsi="宋体" w:eastAsia="宋体" w:cs="宋体"/>
          <w:color w:val="auto"/>
          <w:kern w:val="0"/>
          <w:sz w:val="24"/>
          <w:szCs w:val="24"/>
          <w:lang w:eastAsia="zh-CN"/>
        </w:rPr>
        <w:t>。</w:t>
      </w:r>
    </w:p>
    <w:p w14:paraId="24145C77">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10.甲方全部或部分解除合同之后，应当遵循诚实信用原则购买与未交付的货物类似的货物或服务，乙方应承担甲方购买类似货物或服务而产生的额外支出。部分解除合同的，乙方应继续履行合同中未解除的部分。</w:t>
      </w:r>
    </w:p>
    <w:p w14:paraId="3C3E0B84">
      <w:pPr>
        <w:widowControl/>
        <w:wordWrap/>
        <w:autoSpaceDE/>
        <w:autoSpaceDN/>
        <w:spacing w:line="480" w:lineRule="exact"/>
        <w:ind w:firstLine="482"/>
        <w:jc w:val="left"/>
        <w:outlineLvl w:val="9"/>
        <w:rPr>
          <w:rFonts w:hint="eastAsia" w:ascii="宋体" w:hAnsi="宋体" w:eastAsia="宋体" w:cs="宋体"/>
          <w:b/>
          <w:color w:val="auto"/>
          <w:kern w:val="0"/>
          <w:sz w:val="28"/>
          <w:szCs w:val="28"/>
          <w:lang w:eastAsia="zh-CN"/>
        </w:rPr>
      </w:pPr>
      <w:r>
        <w:rPr>
          <w:rFonts w:hint="eastAsia" w:ascii="宋体" w:hAnsi="宋体" w:eastAsia="宋体" w:cs="宋体"/>
          <w:b/>
          <w:color w:val="auto"/>
          <w:kern w:val="0"/>
          <w:sz w:val="28"/>
          <w:szCs w:val="28"/>
          <w:lang w:eastAsia="zh-CN"/>
        </w:rPr>
        <w:t>八、合同争议的解决：</w:t>
      </w:r>
    </w:p>
    <w:p w14:paraId="20337E85">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1.甲乙双方由于本合同的履行而发生任何争议时，双方可先通过协商解决。</w:t>
      </w:r>
    </w:p>
    <w:p w14:paraId="1A89A715">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2.任何一方不愿通过协商或通过协商仍不能解决争议，则双方中任何一方均应向甲方所在地人民法院起诉。</w:t>
      </w:r>
    </w:p>
    <w:p w14:paraId="398F553F">
      <w:pPr>
        <w:widowControl/>
        <w:wordWrap/>
        <w:autoSpaceDE/>
        <w:autoSpaceDN/>
        <w:spacing w:line="480" w:lineRule="exact"/>
        <w:ind w:firstLine="482"/>
        <w:jc w:val="left"/>
        <w:outlineLvl w:val="9"/>
        <w:rPr>
          <w:rFonts w:hint="eastAsia" w:ascii="宋体" w:hAnsi="宋体" w:eastAsia="宋体" w:cs="宋体"/>
          <w:b/>
          <w:color w:val="auto"/>
          <w:kern w:val="0"/>
          <w:sz w:val="28"/>
          <w:szCs w:val="28"/>
          <w:lang w:eastAsia="zh-CN"/>
        </w:rPr>
      </w:pPr>
      <w:r>
        <w:rPr>
          <w:rFonts w:hint="eastAsia" w:ascii="宋体" w:hAnsi="宋体" w:eastAsia="宋体" w:cs="宋体"/>
          <w:b/>
          <w:color w:val="auto"/>
          <w:kern w:val="0"/>
          <w:sz w:val="28"/>
          <w:szCs w:val="28"/>
          <w:lang w:eastAsia="zh-CN"/>
        </w:rPr>
        <w:t>九、其他：</w:t>
      </w:r>
    </w:p>
    <w:p w14:paraId="006E1EC3">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1.合同经双方签字盖章后生效。本合同一式五份，甲方执四份，乙方执一份，执行完毕后自行失效。</w:t>
      </w:r>
    </w:p>
    <w:p w14:paraId="75511A0F">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3.合同的附件、投标文件均作为本合同不可分割的内容，且具有同等法律效力。合同的附件由甲方使用单位负责审核并签章。</w:t>
      </w:r>
    </w:p>
    <w:p w14:paraId="5CF79435">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4.在本合同执行过程中，甲、乙双方协商签订的补充合同与原合同具有同等法律效力。</w:t>
      </w:r>
    </w:p>
    <w:p w14:paraId="48613ECD">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5.未尽事宜，双方协商解决。</w:t>
      </w:r>
    </w:p>
    <w:p w14:paraId="1A161163">
      <w:pPr>
        <w:wordWrap/>
        <w:autoSpaceDE/>
        <w:autoSpaceDN/>
        <w:snapToGrid w:val="0"/>
        <w:spacing w:line="440" w:lineRule="exact"/>
        <w:ind w:firstLine="420" w:firstLineChars="200"/>
        <w:outlineLvl w:val="9"/>
        <w:rPr>
          <w:rFonts w:hint="eastAsia" w:ascii="宋体" w:hAnsi="宋体" w:eastAsia="宋体" w:cs="宋体"/>
          <w:color w:val="auto"/>
          <w:sz w:val="21"/>
          <w:szCs w:val="21"/>
          <w:lang w:eastAsia="zh-CN"/>
        </w:rPr>
      </w:pPr>
    </w:p>
    <w:p w14:paraId="008DC8BF">
      <w:pPr>
        <w:wordWrap/>
        <w:autoSpaceDE/>
        <w:autoSpaceDN/>
        <w:snapToGrid w:val="0"/>
        <w:spacing w:line="480" w:lineRule="exact"/>
        <w:outlineLvl w:val="9"/>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合同签订地点：西安建筑科技大学</w:t>
      </w:r>
    </w:p>
    <w:p w14:paraId="35C8AD56">
      <w:pPr>
        <w:wordWrap/>
        <w:autoSpaceDE/>
        <w:autoSpaceDN/>
        <w:snapToGrid w:val="0"/>
        <w:spacing w:line="480" w:lineRule="exact"/>
        <w:outlineLvl w:val="9"/>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合同签订时间：      年    月    日</w:t>
      </w:r>
    </w:p>
    <w:p w14:paraId="5770CE3D">
      <w:pPr>
        <w:wordWrap/>
        <w:autoSpaceDE/>
        <w:autoSpaceDN/>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br w:type="page"/>
      </w:r>
    </w:p>
    <w:p w14:paraId="0252422E">
      <w:pPr>
        <w:wordWrap/>
        <w:autoSpaceDE/>
        <w:autoSpaceDN/>
        <w:snapToGrid w:val="0"/>
        <w:spacing w:line="480" w:lineRule="exact"/>
        <w:outlineLvl w:val="9"/>
        <w:rPr>
          <w:rFonts w:hint="eastAsia" w:ascii="宋体" w:hAnsi="宋体" w:eastAsia="宋体" w:cs="宋体"/>
          <w:b/>
          <w:color w:val="auto"/>
          <w:sz w:val="21"/>
          <w:szCs w:val="21"/>
          <w:lang w:eastAsia="zh-CN"/>
        </w:rPr>
      </w:pP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57"/>
        <w:gridCol w:w="4503"/>
      </w:tblGrid>
      <w:tr w14:paraId="77AF5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43ECB6BB">
            <w:pPr>
              <w:wordWrap/>
              <w:autoSpaceDE/>
              <w:autoSpaceDN/>
              <w:outlineLvl w:val="9"/>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甲  方（盖章）：西安建筑科技大学</w:t>
            </w:r>
          </w:p>
        </w:tc>
        <w:tc>
          <w:tcPr>
            <w:tcW w:w="4503" w:type="dxa"/>
            <w:vAlign w:val="center"/>
          </w:tcPr>
          <w:p w14:paraId="3E9D166A">
            <w:pPr>
              <w:wordWrap/>
              <w:autoSpaceDE/>
              <w:autoSpaceDN/>
              <w:outlineLvl w:val="9"/>
              <w:rPr>
                <w:rFonts w:hint="eastAsia" w:ascii="宋体" w:hAnsi="宋体" w:eastAsia="宋体" w:cs="宋体"/>
                <w:color w:val="auto"/>
                <w:sz w:val="21"/>
                <w:szCs w:val="21"/>
                <w:lang w:eastAsia="zh-CN"/>
              </w:rPr>
            </w:pPr>
            <w:r>
              <w:rPr>
                <w:rFonts w:hint="eastAsia" w:ascii="宋体" w:hAnsi="宋体" w:eastAsia="宋体" w:cs="宋体"/>
                <w:b/>
                <w:color w:val="auto"/>
                <w:sz w:val="21"/>
                <w:szCs w:val="21"/>
                <w:lang w:eastAsia="zh-CN"/>
              </w:rPr>
              <w:t>乙  方（盖章）：</w:t>
            </w:r>
          </w:p>
        </w:tc>
      </w:tr>
      <w:tr w14:paraId="339CE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636371DB">
            <w:pPr>
              <w:wordWrap/>
              <w:autoSpaceDE/>
              <w:autoSpaceDN/>
              <w:outlineLvl w:val="9"/>
              <w:rPr>
                <w:rFonts w:hint="eastAsia" w:ascii="宋体" w:hAnsi="宋体" w:eastAsia="宋体" w:cs="宋体"/>
                <w:color w:val="auto"/>
                <w:sz w:val="21"/>
                <w:szCs w:val="21"/>
                <w:lang w:eastAsia="zh-CN"/>
              </w:rPr>
            </w:pPr>
            <w:r>
              <w:rPr>
                <w:rFonts w:hint="eastAsia" w:ascii="宋体" w:hAnsi="宋体" w:eastAsia="宋体" w:cs="宋体"/>
                <w:b/>
                <w:color w:val="auto"/>
                <w:sz w:val="21"/>
                <w:szCs w:val="21"/>
                <w:lang w:eastAsia="zh-CN"/>
              </w:rPr>
              <w:t>地  址：西安市雁塔路13号</w:t>
            </w:r>
          </w:p>
        </w:tc>
        <w:tc>
          <w:tcPr>
            <w:tcW w:w="4503" w:type="dxa"/>
            <w:vAlign w:val="center"/>
          </w:tcPr>
          <w:p w14:paraId="5B7E6397">
            <w:pPr>
              <w:wordWrap/>
              <w:autoSpaceDE/>
              <w:autoSpaceDN/>
              <w:outlineLvl w:val="9"/>
              <w:rPr>
                <w:rFonts w:hint="eastAsia" w:ascii="宋体" w:hAnsi="宋体" w:eastAsia="宋体" w:cs="宋体"/>
                <w:color w:val="auto"/>
                <w:sz w:val="21"/>
                <w:szCs w:val="21"/>
                <w:lang w:eastAsia="zh-CN"/>
              </w:rPr>
            </w:pPr>
            <w:r>
              <w:rPr>
                <w:rFonts w:hint="eastAsia" w:ascii="宋体" w:hAnsi="宋体" w:eastAsia="宋体" w:cs="宋体"/>
                <w:b/>
                <w:color w:val="auto"/>
                <w:sz w:val="21"/>
                <w:szCs w:val="21"/>
                <w:lang w:eastAsia="zh-CN"/>
              </w:rPr>
              <w:t>地  址：</w:t>
            </w:r>
          </w:p>
        </w:tc>
      </w:tr>
      <w:tr w14:paraId="4A951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0C96B6F3">
            <w:pPr>
              <w:wordWrap/>
              <w:autoSpaceDE/>
              <w:autoSpaceDN/>
              <w:outlineLvl w:val="9"/>
              <w:rPr>
                <w:rFonts w:hint="eastAsia" w:ascii="宋体" w:hAnsi="宋体" w:eastAsia="宋体" w:cs="宋体"/>
                <w:color w:val="auto"/>
                <w:sz w:val="21"/>
                <w:szCs w:val="21"/>
                <w:lang w:eastAsia="zh-CN"/>
              </w:rPr>
            </w:pPr>
            <w:r>
              <w:rPr>
                <w:rFonts w:hint="eastAsia" w:ascii="宋体" w:hAnsi="宋体" w:eastAsia="宋体" w:cs="宋体"/>
                <w:b/>
                <w:color w:val="auto"/>
                <w:sz w:val="21"/>
                <w:szCs w:val="21"/>
                <w:lang w:eastAsia="zh-CN"/>
              </w:rPr>
              <w:t>法定代表人（签字）：</w:t>
            </w:r>
          </w:p>
        </w:tc>
        <w:tc>
          <w:tcPr>
            <w:tcW w:w="4503" w:type="dxa"/>
            <w:vAlign w:val="center"/>
          </w:tcPr>
          <w:p w14:paraId="7C772E6F">
            <w:pPr>
              <w:wordWrap/>
              <w:autoSpaceDE/>
              <w:autoSpaceDN/>
              <w:outlineLvl w:val="9"/>
              <w:rPr>
                <w:rFonts w:hint="eastAsia" w:ascii="宋体" w:hAnsi="宋体" w:eastAsia="宋体" w:cs="宋体"/>
                <w:color w:val="auto"/>
                <w:sz w:val="21"/>
                <w:szCs w:val="21"/>
                <w:lang w:eastAsia="zh-CN"/>
              </w:rPr>
            </w:pPr>
            <w:r>
              <w:rPr>
                <w:rFonts w:hint="eastAsia" w:ascii="宋体" w:hAnsi="宋体" w:eastAsia="宋体" w:cs="宋体"/>
                <w:b/>
                <w:color w:val="auto"/>
                <w:sz w:val="21"/>
                <w:szCs w:val="21"/>
                <w:lang w:eastAsia="zh-CN"/>
              </w:rPr>
              <w:t>法定代表人（签字）：</w:t>
            </w:r>
          </w:p>
        </w:tc>
      </w:tr>
      <w:tr w14:paraId="2AC6E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78ED12EC">
            <w:pPr>
              <w:wordWrap/>
              <w:autoSpaceDE/>
              <w:autoSpaceDN/>
              <w:outlineLvl w:val="9"/>
              <w:rPr>
                <w:rFonts w:hint="eastAsia" w:ascii="宋体" w:hAnsi="宋体" w:eastAsia="宋体" w:cs="宋体"/>
                <w:color w:val="auto"/>
                <w:sz w:val="21"/>
                <w:szCs w:val="21"/>
                <w:lang w:eastAsia="zh-CN"/>
              </w:rPr>
            </w:pPr>
            <w:r>
              <w:rPr>
                <w:rFonts w:hint="eastAsia" w:ascii="宋体" w:hAnsi="宋体" w:eastAsia="宋体" w:cs="宋体"/>
                <w:b/>
                <w:color w:val="auto"/>
                <w:sz w:val="21"/>
                <w:szCs w:val="21"/>
                <w:lang w:eastAsia="zh-CN"/>
              </w:rPr>
              <w:t>委托代理人（签字）：</w:t>
            </w:r>
          </w:p>
        </w:tc>
        <w:tc>
          <w:tcPr>
            <w:tcW w:w="4503" w:type="dxa"/>
            <w:vAlign w:val="center"/>
          </w:tcPr>
          <w:p w14:paraId="5BC26FF3">
            <w:pPr>
              <w:wordWrap/>
              <w:autoSpaceDE/>
              <w:autoSpaceDN/>
              <w:outlineLvl w:val="9"/>
              <w:rPr>
                <w:rFonts w:hint="eastAsia" w:ascii="宋体" w:hAnsi="宋体" w:eastAsia="宋体" w:cs="宋体"/>
                <w:color w:val="auto"/>
                <w:sz w:val="21"/>
                <w:szCs w:val="21"/>
                <w:lang w:eastAsia="zh-CN"/>
              </w:rPr>
            </w:pPr>
            <w:r>
              <w:rPr>
                <w:rFonts w:hint="eastAsia" w:ascii="宋体" w:hAnsi="宋体" w:eastAsia="宋体" w:cs="宋体"/>
                <w:b/>
                <w:color w:val="auto"/>
                <w:sz w:val="21"/>
                <w:szCs w:val="21"/>
                <w:lang w:eastAsia="zh-CN"/>
              </w:rPr>
              <w:t>委托代理人（签字）：</w:t>
            </w:r>
          </w:p>
        </w:tc>
      </w:tr>
      <w:tr w14:paraId="52CA0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4A039C1B">
            <w:pPr>
              <w:wordWrap/>
              <w:autoSpaceDE/>
              <w:autoSpaceDN/>
              <w:outlineLvl w:val="9"/>
              <w:rPr>
                <w:rFonts w:hint="eastAsia" w:ascii="宋体" w:hAnsi="宋体" w:eastAsia="宋体" w:cs="宋体"/>
                <w:color w:val="auto"/>
                <w:sz w:val="21"/>
                <w:szCs w:val="21"/>
                <w:lang w:eastAsia="zh-CN"/>
              </w:rPr>
            </w:pPr>
            <w:r>
              <w:rPr>
                <w:rFonts w:hint="eastAsia" w:ascii="宋体" w:hAnsi="宋体" w:eastAsia="宋体" w:cs="宋体"/>
                <w:b/>
                <w:color w:val="auto"/>
                <w:sz w:val="21"/>
                <w:szCs w:val="21"/>
                <w:lang w:eastAsia="zh-CN"/>
              </w:rPr>
              <w:t>开户名：西安建筑科技大学</w:t>
            </w:r>
          </w:p>
        </w:tc>
        <w:tc>
          <w:tcPr>
            <w:tcW w:w="4503" w:type="dxa"/>
            <w:vAlign w:val="center"/>
          </w:tcPr>
          <w:p w14:paraId="5378935C">
            <w:pPr>
              <w:wordWrap/>
              <w:autoSpaceDE/>
              <w:autoSpaceDN/>
              <w:outlineLvl w:val="9"/>
              <w:rPr>
                <w:rFonts w:hint="eastAsia" w:ascii="宋体" w:hAnsi="宋体" w:eastAsia="宋体" w:cs="宋体"/>
                <w:color w:val="auto"/>
                <w:sz w:val="21"/>
                <w:szCs w:val="21"/>
                <w:lang w:eastAsia="zh-CN"/>
              </w:rPr>
            </w:pPr>
            <w:r>
              <w:rPr>
                <w:rFonts w:hint="eastAsia" w:ascii="宋体" w:hAnsi="宋体" w:eastAsia="宋体" w:cs="宋体"/>
                <w:b/>
                <w:color w:val="auto"/>
                <w:sz w:val="21"/>
                <w:szCs w:val="21"/>
                <w:lang w:eastAsia="zh-CN"/>
              </w:rPr>
              <w:t>开户名：</w:t>
            </w:r>
          </w:p>
        </w:tc>
      </w:tr>
      <w:tr w14:paraId="72652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3718E739">
            <w:pPr>
              <w:wordWrap/>
              <w:autoSpaceDE/>
              <w:autoSpaceDN/>
              <w:outlineLvl w:val="9"/>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开户行：工行雁塔路支行</w:t>
            </w:r>
          </w:p>
          <w:p w14:paraId="346F87DC">
            <w:pPr>
              <w:wordWrap/>
              <w:autoSpaceDE/>
              <w:autoSpaceDN/>
              <w:outlineLvl w:val="9"/>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行  号: 102791000242</w:t>
            </w:r>
          </w:p>
          <w:p w14:paraId="58A2BD8A">
            <w:pPr>
              <w:wordWrap/>
              <w:autoSpaceDE/>
              <w:autoSpaceDN/>
              <w:outlineLvl w:val="9"/>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税  号: 1261000043523106XB</w:t>
            </w:r>
          </w:p>
        </w:tc>
        <w:tc>
          <w:tcPr>
            <w:tcW w:w="4503" w:type="dxa"/>
            <w:vAlign w:val="center"/>
          </w:tcPr>
          <w:p w14:paraId="139CDFE5">
            <w:pPr>
              <w:wordWrap/>
              <w:autoSpaceDE/>
              <w:autoSpaceDN/>
              <w:outlineLvl w:val="9"/>
              <w:rPr>
                <w:rFonts w:hint="eastAsia" w:ascii="宋体" w:hAnsi="宋体" w:eastAsia="宋体" w:cs="宋体"/>
                <w:color w:val="auto"/>
                <w:sz w:val="21"/>
                <w:szCs w:val="21"/>
                <w:lang w:eastAsia="zh-CN"/>
              </w:rPr>
            </w:pPr>
            <w:r>
              <w:rPr>
                <w:rFonts w:hint="eastAsia" w:ascii="宋体" w:hAnsi="宋体" w:eastAsia="宋体" w:cs="宋体"/>
                <w:b/>
                <w:color w:val="auto"/>
                <w:sz w:val="21"/>
                <w:szCs w:val="21"/>
                <w:lang w:eastAsia="zh-CN"/>
              </w:rPr>
              <w:t>开户行：</w:t>
            </w:r>
          </w:p>
        </w:tc>
      </w:tr>
      <w:tr w14:paraId="1FB55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3D658E46">
            <w:pPr>
              <w:wordWrap/>
              <w:autoSpaceDE/>
              <w:autoSpaceDN/>
              <w:outlineLvl w:val="9"/>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帐  号：3700023009026400639</w:t>
            </w:r>
          </w:p>
        </w:tc>
        <w:tc>
          <w:tcPr>
            <w:tcW w:w="4503" w:type="dxa"/>
            <w:vAlign w:val="center"/>
          </w:tcPr>
          <w:p w14:paraId="64D30D5B">
            <w:pPr>
              <w:wordWrap/>
              <w:autoSpaceDE/>
              <w:autoSpaceDN/>
              <w:outlineLvl w:val="9"/>
              <w:rPr>
                <w:rFonts w:hint="eastAsia" w:ascii="宋体" w:hAnsi="宋体" w:eastAsia="宋体" w:cs="宋体"/>
                <w:color w:val="auto"/>
                <w:sz w:val="21"/>
                <w:szCs w:val="21"/>
                <w:lang w:eastAsia="zh-CN"/>
              </w:rPr>
            </w:pPr>
            <w:r>
              <w:rPr>
                <w:rFonts w:hint="eastAsia" w:ascii="宋体" w:hAnsi="宋体" w:eastAsia="宋体" w:cs="宋体"/>
                <w:b/>
                <w:color w:val="auto"/>
                <w:sz w:val="21"/>
                <w:szCs w:val="21"/>
                <w:lang w:eastAsia="zh-CN"/>
              </w:rPr>
              <w:t>帐  号：</w:t>
            </w:r>
          </w:p>
        </w:tc>
      </w:tr>
      <w:tr w14:paraId="7188F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70ECF1CD">
            <w:pPr>
              <w:wordWrap/>
              <w:autoSpaceDE/>
              <w:autoSpaceDN/>
              <w:outlineLvl w:val="9"/>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联系人： 梁武</w:t>
            </w:r>
          </w:p>
        </w:tc>
        <w:tc>
          <w:tcPr>
            <w:tcW w:w="4503" w:type="dxa"/>
            <w:vAlign w:val="center"/>
          </w:tcPr>
          <w:p w14:paraId="4B8BB57B">
            <w:pPr>
              <w:wordWrap/>
              <w:autoSpaceDE/>
              <w:autoSpaceDN/>
              <w:outlineLvl w:val="9"/>
              <w:rPr>
                <w:rFonts w:hint="eastAsia" w:ascii="宋体" w:hAnsi="宋体" w:eastAsia="宋体" w:cs="宋体"/>
                <w:color w:val="auto"/>
                <w:sz w:val="21"/>
                <w:szCs w:val="21"/>
                <w:lang w:eastAsia="zh-CN"/>
              </w:rPr>
            </w:pPr>
            <w:r>
              <w:rPr>
                <w:rFonts w:hint="eastAsia" w:ascii="宋体" w:hAnsi="宋体" w:eastAsia="宋体" w:cs="宋体"/>
                <w:b/>
                <w:color w:val="auto"/>
                <w:sz w:val="21"/>
                <w:szCs w:val="21"/>
                <w:lang w:eastAsia="zh-CN"/>
              </w:rPr>
              <w:t>联系人：</w:t>
            </w:r>
          </w:p>
        </w:tc>
      </w:tr>
      <w:tr w14:paraId="1E806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642A9FF1">
            <w:pPr>
              <w:wordWrap/>
              <w:autoSpaceDE/>
              <w:autoSpaceDN/>
              <w:outlineLvl w:val="9"/>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联系电话：029-82202312</w:t>
            </w:r>
          </w:p>
        </w:tc>
        <w:tc>
          <w:tcPr>
            <w:tcW w:w="4503" w:type="dxa"/>
            <w:vAlign w:val="center"/>
          </w:tcPr>
          <w:p w14:paraId="4F1BD327">
            <w:pPr>
              <w:wordWrap/>
              <w:autoSpaceDE/>
              <w:autoSpaceDN/>
              <w:outlineLvl w:val="9"/>
              <w:rPr>
                <w:rFonts w:hint="eastAsia" w:ascii="宋体" w:hAnsi="宋体" w:eastAsia="宋体" w:cs="宋体"/>
                <w:color w:val="auto"/>
                <w:sz w:val="21"/>
                <w:szCs w:val="21"/>
                <w:lang w:eastAsia="zh-CN"/>
              </w:rPr>
            </w:pPr>
            <w:r>
              <w:rPr>
                <w:rFonts w:hint="eastAsia" w:ascii="宋体" w:hAnsi="宋体" w:eastAsia="宋体" w:cs="宋体"/>
                <w:b/>
                <w:color w:val="auto"/>
                <w:sz w:val="21"/>
                <w:szCs w:val="21"/>
                <w:lang w:eastAsia="zh-CN"/>
              </w:rPr>
              <w:t>联系电话：</w:t>
            </w:r>
          </w:p>
        </w:tc>
      </w:tr>
    </w:tbl>
    <w:p w14:paraId="0A596B88">
      <w:pPr>
        <w:widowControl/>
        <w:wordWrap/>
        <w:autoSpaceDE/>
        <w:autoSpaceDN/>
        <w:spacing w:line="360" w:lineRule="auto"/>
        <w:ind w:firstLine="482"/>
        <w:jc w:val="left"/>
        <w:outlineLvl w:val="9"/>
        <w:rPr>
          <w:rFonts w:hint="eastAsia" w:ascii="宋体" w:hAnsi="宋体" w:eastAsia="宋体" w:cs="宋体"/>
          <w:b/>
          <w:color w:val="auto"/>
          <w:kern w:val="0"/>
          <w:sz w:val="28"/>
          <w:szCs w:val="28"/>
          <w:lang w:eastAsia="zh-CN"/>
        </w:rPr>
      </w:pPr>
    </w:p>
    <w:p w14:paraId="7078B51B">
      <w:pPr>
        <w:widowControl/>
        <w:wordWrap/>
        <w:autoSpaceDE/>
        <w:autoSpaceDN/>
        <w:spacing w:line="360" w:lineRule="auto"/>
        <w:ind w:firstLine="482"/>
        <w:jc w:val="left"/>
        <w:outlineLvl w:val="9"/>
        <w:rPr>
          <w:rFonts w:hint="eastAsia" w:ascii="宋体" w:hAnsi="宋体" w:eastAsia="宋体" w:cs="宋体"/>
          <w:b/>
          <w:color w:val="auto"/>
          <w:kern w:val="0"/>
          <w:sz w:val="28"/>
          <w:szCs w:val="28"/>
          <w:lang w:eastAsia="zh-CN"/>
        </w:rPr>
      </w:pPr>
    </w:p>
    <w:p w14:paraId="7E40C1BA">
      <w:pPr>
        <w:widowControl/>
        <w:wordWrap/>
        <w:autoSpaceDE/>
        <w:autoSpaceDN/>
        <w:spacing w:line="360" w:lineRule="auto"/>
        <w:jc w:val="left"/>
        <w:outlineLvl w:val="9"/>
        <w:rPr>
          <w:rFonts w:hint="eastAsia" w:ascii="宋体" w:hAnsi="宋体" w:eastAsia="宋体" w:cs="宋体"/>
          <w:b/>
          <w:color w:val="auto"/>
          <w:kern w:val="0"/>
          <w:sz w:val="28"/>
          <w:szCs w:val="28"/>
          <w:lang w:eastAsia="zh-CN"/>
        </w:rPr>
      </w:pPr>
      <w:r>
        <w:rPr>
          <w:rFonts w:hint="eastAsia" w:ascii="宋体" w:hAnsi="宋体" w:eastAsia="宋体" w:cs="宋体"/>
          <w:b/>
          <w:color w:val="auto"/>
          <w:kern w:val="0"/>
          <w:sz w:val="28"/>
          <w:szCs w:val="28"/>
          <w:lang w:eastAsia="zh-CN"/>
        </w:rPr>
        <w:t>附件：</w:t>
      </w:r>
    </w:p>
    <w:p w14:paraId="4B4CC09C">
      <w:pPr>
        <w:widowControl/>
        <w:wordWrap/>
        <w:autoSpaceDE/>
        <w:autoSpaceDN/>
        <w:spacing w:line="52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附件1：技术协议</w:t>
      </w:r>
    </w:p>
    <w:p w14:paraId="12E1FE50">
      <w:pPr>
        <w:widowControl/>
        <w:wordWrap/>
        <w:autoSpaceDE/>
        <w:autoSpaceDN/>
        <w:spacing w:line="52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附件2：验收方法及标准</w:t>
      </w:r>
    </w:p>
    <w:p w14:paraId="393640C4">
      <w:pPr>
        <w:widowControl/>
        <w:wordWrap/>
        <w:autoSpaceDE/>
        <w:autoSpaceDN/>
        <w:spacing w:line="52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附件3：索赔</w:t>
      </w:r>
    </w:p>
    <w:p w14:paraId="0B84661C">
      <w:pPr>
        <w:widowControl/>
        <w:spacing w:line="360" w:lineRule="auto"/>
        <w:jc w:val="left"/>
        <w:outlineLvl w:val="9"/>
        <w:rPr>
          <w:rFonts w:hint="eastAsia" w:ascii="宋体" w:hAnsi="宋体" w:eastAsia="宋体" w:cs="宋体"/>
          <w:color w:val="auto"/>
          <w:kern w:val="0"/>
          <w:sz w:val="28"/>
          <w:szCs w:val="28"/>
        </w:rPr>
        <w:sectPr>
          <w:footerReference r:id="rId3" w:type="default"/>
          <w:pgSz w:w="11906" w:h="16838"/>
          <w:pgMar w:top="1440" w:right="1800" w:bottom="1440" w:left="1800" w:header="851" w:footer="992" w:gutter="0"/>
          <w:pgNumType w:fmt="decimal" w:start="1"/>
          <w:cols w:space="425" w:num="1"/>
          <w:docGrid w:type="lines" w:linePitch="312" w:charSpace="0"/>
        </w:sectPr>
      </w:pPr>
    </w:p>
    <w:p w14:paraId="1C3A6BBC">
      <w:pPr>
        <w:widowControl/>
        <w:wordWrap/>
        <w:autoSpaceDE/>
        <w:autoSpaceDN/>
        <w:spacing w:line="360" w:lineRule="auto"/>
        <w:jc w:val="left"/>
        <w:outlineLvl w:val="9"/>
        <w:rPr>
          <w:rFonts w:hint="eastAsia" w:ascii="宋体" w:hAnsi="宋体" w:eastAsia="宋体" w:cs="宋体"/>
          <w:color w:val="auto"/>
          <w:kern w:val="0"/>
          <w:sz w:val="28"/>
          <w:szCs w:val="28"/>
          <w:lang w:eastAsia="zh-CN"/>
        </w:rPr>
      </w:pPr>
      <w:r>
        <w:rPr>
          <w:rFonts w:hint="eastAsia" w:ascii="宋体" w:hAnsi="宋体" w:eastAsia="宋体" w:cs="宋体"/>
          <w:color w:val="auto"/>
          <w:kern w:val="0"/>
          <w:sz w:val="28"/>
          <w:szCs w:val="28"/>
          <w:lang w:eastAsia="zh-CN"/>
        </w:rPr>
        <w:t>附件1：技术协议</w:t>
      </w:r>
    </w:p>
    <w:p w14:paraId="25241D16">
      <w:pPr>
        <w:wordWrap/>
        <w:autoSpaceDE/>
        <w:autoSpaceDN/>
        <w:spacing w:line="440" w:lineRule="exact"/>
        <w:outlineLvl w:val="9"/>
        <w:rPr>
          <w:rFonts w:hint="eastAsia" w:ascii="宋体" w:hAnsi="宋体" w:eastAsia="宋体" w:cs="宋体"/>
          <w:b/>
          <w:color w:val="auto"/>
          <w:sz w:val="30"/>
          <w:szCs w:val="30"/>
          <w:lang w:eastAsia="zh-CN"/>
        </w:rPr>
      </w:pPr>
      <w:bookmarkStart w:id="1" w:name="_Toc390373038"/>
      <w:bookmarkStart w:id="2" w:name="_Toc390360542"/>
      <w:r>
        <w:rPr>
          <w:rFonts w:hint="eastAsia" w:ascii="宋体" w:hAnsi="宋体" w:eastAsia="宋体" w:cs="宋体"/>
          <w:b/>
          <w:color w:val="auto"/>
          <w:sz w:val="32"/>
          <w:szCs w:val="32"/>
          <w:lang w:eastAsia="zh-CN"/>
        </w:rPr>
        <w:t>1.</w:t>
      </w:r>
      <w:r>
        <w:rPr>
          <w:rFonts w:hint="eastAsia" w:ascii="宋体" w:hAnsi="宋体" w:eastAsia="宋体" w:cs="宋体"/>
          <w:b/>
          <w:color w:val="auto"/>
          <w:sz w:val="30"/>
          <w:szCs w:val="30"/>
          <w:lang w:eastAsia="zh-CN"/>
        </w:rPr>
        <w:t>中标产品技术参数明细</w:t>
      </w:r>
    </w:p>
    <w:p w14:paraId="71E82790">
      <w:pPr>
        <w:wordWrap/>
        <w:autoSpaceDE/>
        <w:autoSpaceDN/>
        <w:spacing w:line="440" w:lineRule="exac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我公司承诺：合同中数列产品均满足标书及使用要求，无任何负偏离。并与所供产品完全一致。</w:t>
      </w:r>
    </w:p>
    <w:bookmarkEnd w:id="1"/>
    <w:bookmarkEnd w:id="2"/>
    <w:p w14:paraId="3E47D4FC">
      <w:pPr>
        <w:wordWrap/>
        <w:autoSpaceDE/>
        <w:autoSpaceDN/>
        <w:spacing w:line="440" w:lineRule="exact"/>
        <w:outlineLvl w:val="9"/>
        <w:rPr>
          <w:rFonts w:hint="eastAsia" w:ascii="宋体" w:hAnsi="宋体" w:eastAsia="宋体" w:cs="宋体"/>
          <w:color w:val="auto"/>
          <w:sz w:val="24"/>
          <w:szCs w:val="24"/>
          <w:lang w:eastAsia="zh-CN"/>
        </w:rPr>
      </w:pPr>
      <w:r>
        <w:rPr>
          <w:rFonts w:hint="eastAsia" w:ascii="宋体" w:hAnsi="宋体" w:eastAsia="宋体" w:cs="宋体"/>
          <w:b/>
          <w:bCs/>
          <w:color w:val="auto"/>
          <w:sz w:val="24"/>
          <w:szCs w:val="24"/>
          <w:lang w:eastAsia="zh-CN"/>
        </w:rPr>
        <w:t>1.1设备特性</w:t>
      </w:r>
    </w:p>
    <w:p w14:paraId="11C29499">
      <w:pPr>
        <w:wordWrap/>
        <w:autoSpaceDE/>
        <w:autoSpaceDN/>
        <w:spacing w:line="440" w:lineRule="exact"/>
        <w:outlineLvl w:val="9"/>
        <w:rPr>
          <w:rFonts w:hint="eastAsia" w:ascii="宋体" w:hAnsi="宋体" w:eastAsia="宋体" w:cs="宋体"/>
          <w:b/>
          <w:color w:val="auto"/>
          <w:sz w:val="24"/>
          <w:szCs w:val="24"/>
          <w:lang w:eastAsia="zh-CN"/>
        </w:rPr>
      </w:pPr>
      <w:r>
        <w:rPr>
          <w:rFonts w:hint="eastAsia" w:ascii="宋体" w:hAnsi="宋体" w:eastAsia="宋体" w:cs="宋体"/>
          <w:b/>
          <w:bCs/>
          <w:color w:val="auto"/>
          <w:sz w:val="24"/>
          <w:szCs w:val="24"/>
          <w:lang w:eastAsia="zh-CN"/>
        </w:rPr>
        <w:t>1.2</w:t>
      </w:r>
      <w:r>
        <w:rPr>
          <w:rFonts w:hint="eastAsia" w:ascii="宋体" w:hAnsi="宋体" w:eastAsia="宋体" w:cs="宋体"/>
          <w:b/>
          <w:color w:val="auto"/>
          <w:sz w:val="24"/>
          <w:szCs w:val="24"/>
          <w:lang w:eastAsia="zh-CN"/>
        </w:rPr>
        <w:t>设备用途</w:t>
      </w:r>
    </w:p>
    <w:p w14:paraId="5927595F">
      <w:pPr>
        <w:wordWrap/>
        <w:autoSpaceDE/>
        <w:autoSpaceDN/>
        <w:spacing w:line="440" w:lineRule="exact"/>
        <w:outlineLvl w:val="9"/>
        <w:rPr>
          <w:rFonts w:hint="eastAsia" w:ascii="宋体" w:hAnsi="宋体" w:eastAsia="宋体" w:cs="宋体"/>
          <w:b/>
          <w:color w:val="auto"/>
          <w:sz w:val="24"/>
          <w:szCs w:val="24"/>
          <w:lang w:eastAsia="zh-CN"/>
        </w:rPr>
      </w:pPr>
      <w:r>
        <w:rPr>
          <w:rFonts w:hint="eastAsia" w:ascii="宋体" w:hAnsi="宋体" w:eastAsia="宋体" w:cs="宋体"/>
          <w:b/>
          <w:color w:val="auto"/>
          <w:sz w:val="24"/>
          <w:szCs w:val="24"/>
          <w:lang w:eastAsia="zh-CN"/>
        </w:rPr>
        <w:t>1.3设备主要参数指标</w:t>
      </w:r>
    </w:p>
    <w:p w14:paraId="0F4D6C1B">
      <w:pPr>
        <w:wordWrap/>
        <w:autoSpaceDE/>
        <w:autoSpaceDN/>
        <w:spacing w:line="440" w:lineRule="exact"/>
        <w:outlineLvl w:val="9"/>
        <w:rPr>
          <w:rFonts w:hint="eastAsia" w:ascii="宋体" w:hAnsi="宋体" w:eastAsia="宋体" w:cs="宋体"/>
          <w:b/>
          <w:color w:val="auto"/>
          <w:sz w:val="24"/>
          <w:szCs w:val="24"/>
          <w:lang w:eastAsia="zh-CN"/>
        </w:rPr>
      </w:pPr>
      <w:r>
        <w:rPr>
          <w:rFonts w:hint="eastAsia" w:ascii="宋体" w:hAnsi="宋体" w:eastAsia="宋体" w:cs="宋体"/>
          <w:b/>
          <w:color w:val="auto"/>
          <w:sz w:val="24"/>
          <w:szCs w:val="24"/>
          <w:lang w:eastAsia="zh-CN"/>
        </w:rPr>
        <w:t xml:space="preserve">1.4质量要求与安全要求 </w:t>
      </w:r>
    </w:p>
    <w:p w14:paraId="278365FA">
      <w:pPr>
        <w:wordWrap/>
        <w:autoSpaceDE/>
        <w:autoSpaceDN/>
        <w:spacing w:line="440" w:lineRule="exact"/>
        <w:outlineLvl w:val="9"/>
        <w:rPr>
          <w:rFonts w:hint="eastAsia" w:ascii="宋体" w:hAnsi="宋体" w:eastAsia="宋体" w:cs="宋体"/>
          <w:b/>
          <w:color w:val="auto"/>
          <w:sz w:val="24"/>
          <w:szCs w:val="24"/>
          <w:lang w:eastAsia="zh-CN"/>
        </w:rPr>
      </w:pPr>
      <w:r>
        <w:rPr>
          <w:rFonts w:hint="eastAsia" w:ascii="宋体" w:hAnsi="宋体" w:eastAsia="宋体" w:cs="宋体"/>
          <w:b/>
          <w:color w:val="auto"/>
          <w:sz w:val="24"/>
          <w:szCs w:val="24"/>
          <w:lang w:eastAsia="zh-CN"/>
        </w:rPr>
        <w:t>1.5设备运行一般流程图</w:t>
      </w:r>
    </w:p>
    <w:p w14:paraId="1D6AE6FF">
      <w:pPr>
        <w:wordWrap/>
        <w:autoSpaceDE/>
        <w:autoSpaceDN/>
        <w:spacing w:line="440" w:lineRule="exact"/>
        <w:outlineLvl w:val="9"/>
        <w:rPr>
          <w:rFonts w:hint="eastAsia" w:ascii="宋体" w:hAnsi="宋体" w:eastAsia="宋体" w:cs="宋体"/>
          <w:color w:val="auto"/>
          <w:sz w:val="21"/>
          <w:szCs w:val="21"/>
          <w:lang w:eastAsia="zh-CN"/>
        </w:rPr>
      </w:pPr>
      <w:r>
        <w:rPr>
          <w:rFonts w:hint="eastAsia" w:ascii="宋体" w:hAnsi="宋体" w:eastAsia="宋体" w:cs="宋体"/>
          <w:b w:val="0"/>
          <w:bCs w:val="0"/>
          <w:color w:val="auto"/>
          <w:sz w:val="21"/>
          <w:szCs w:val="21"/>
          <w:lang w:eastAsia="zh-CN"/>
        </w:rPr>
        <w:t xml:space="preserve"> </w:t>
      </w:r>
    </w:p>
    <w:p w14:paraId="43C99BB9">
      <w:pPr>
        <w:wordWrap/>
        <w:autoSpaceDE/>
        <w:autoSpaceDN/>
        <w:spacing w:line="440" w:lineRule="exact"/>
        <w:outlineLvl w:val="9"/>
        <w:rPr>
          <w:rFonts w:hint="eastAsia" w:ascii="宋体" w:hAnsi="宋体" w:eastAsia="宋体" w:cs="宋体"/>
          <w:b/>
          <w:color w:val="auto"/>
          <w:sz w:val="30"/>
          <w:szCs w:val="30"/>
          <w:lang w:eastAsia="zh-CN"/>
        </w:rPr>
      </w:pPr>
      <w:r>
        <w:rPr>
          <w:rFonts w:hint="eastAsia" w:ascii="宋体" w:hAnsi="宋体" w:eastAsia="宋体" w:cs="宋体"/>
          <w:b/>
          <w:color w:val="auto"/>
          <w:sz w:val="30"/>
          <w:szCs w:val="30"/>
          <w:lang w:eastAsia="zh-CN"/>
        </w:rPr>
        <w:t>2售后服务内容</w:t>
      </w:r>
      <w:bookmarkStart w:id="3" w:name="_Toc390373053"/>
      <w:bookmarkStart w:id="4" w:name="_Toc373263358"/>
      <w:bookmarkStart w:id="5" w:name="_Toc390360557"/>
    </w:p>
    <w:p w14:paraId="52CE5ADB">
      <w:pPr>
        <w:wordWrap/>
        <w:autoSpaceDE/>
        <w:autoSpaceDN/>
        <w:spacing w:line="440" w:lineRule="exact"/>
        <w:outlineLvl w:val="9"/>
        <w:rPr>
          <w:rFonts w:hint="eastAsia" w:ascii="宋体" w:hAnsi="宋体" w:eastAsia="宋体" w:cs="宋体"/>
          <w:b/>
          <w:color w:val="auto"/>
          <w:sz w:val="24"/>
          <w:szCs w:val="24"/>
          <w:lang w:eastAsia="zh-CN"/>
        </w:rPr>
      </w:pPr>
      <w:bookmarkStart w:id="6" w:name="_Toc390360558"/>
      <w:bookmarkStart w:id="7" w:name="_Toc373263359"/>
      <w:bookmarkStart w:id="8" w:name="_Toc390373054"/>
      <w:r>
        <w:rPr>
          <w:rFonts w:hint="eastAsia" w:ascii="宋体" w:hAnsi="宋体" w:eastAsia="宋体" w:cs="宋体"/>
          <w:b/>
          <w:color w:val="auto"/>
          <w:sz w:val="24"/>
          <w:szCs w:val="24"/>
          <w:lang w:eastAsia="zh-CN"/>
        </w:rPr>
        <w:t>2.1技术服务、售后服务体系、故障响应时间、应急维修措施</w:t>
      </w:r>
      <w:bookmarkEnd w:id="6"/>
      <w:bookmarkEnd w:id="7"/>
      <w:bookmarkEnd w:id="8"/>
    </w:p>
    <w:p w14:paraId="122B240D">
      <w:pPr>
        <w:wordWrap/>
        <w:autoSpaceDE/>
        <w:autoSpaceDN/>
        <w:spacing w:line="440" w:lineRule="exact"/>
        <w:ind w:right="200" w:rightChars="100" w:firstLine="480" w:firstLineChars="200"/>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2.1.1技术服务措施</w:t>
      </w:r>
    </w:p>
    <w:p w14:paraId="58E60976">
      <w:pPr>
        <w:wordWrap/>
        <w:autoSpaceDE/>
        <w:autoSpaceDN/>
        <w:spacing w:line="440" w:lineRule="exact"/>
        <w:ind w:right="200" w:rightChars="100" w:firstLine="480" w:firstLineChars="200"/>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2.1.2售后服务体系</w:t>
      </w:r>
    </w:p>
    <w:p w14:paraId="1BE4E53D">
      <w:pPr>
        <w:wordWrap/>
        <w:autoSpaceDE/>
        <w:autoSpaceDN/>
        <w:spacing w:line="440" w:lineRule="exact"/>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质保期内服务</w:t>
      </w:r>
    </w:p>
    <w:p w14:paraId="771A3DC4">
      <w:pPr>
        <w:wordWrap/>
        <w:autoSpaceDE/>
        <w:autoSpaceDN/>
        <w:spacing w:line="440" w:lineRule="exact"/>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质保期外服务</w:t>
      </w:r>
    </w:p>
    <w:p w14:paraId="5287AFCB">
      <w:pPr>
        <w:wordWrap/>
        <w:autoSpaceDE/>
        <w:autoSpaceDN/>
        <w:spacing w:line="440" w:lineRule="exact"/>
        <w:ind w:right="200" w:rightChars="100" w:firstLine="480" w:firstLineChars="200"/>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2.1.3故障响应时间</w:t>
      </w:r>
    </w:p>
    <w:p w14:paraId="76C0FF87">
      <w:pPr>
        <w:wordWrap/>
        <w:autoSpaceDE/>
        <w:autoSpaceDN/>
        <w:spacing w:line="440" w:lineRule="exact"/>
        <w:ind w:right="200" w:rightChars="100" w:firstLine="480" w:firstLineChars="200"/>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2.1.4应急维修措施</w:t>
      </w:r>
    </w:p>
    <w:p w14:paraId="61DD3ACF">
      <w:pPr>
        <w:wordWrap/>
        <w:autoSpaceDE/>
        <w:autoSpaceDN/>
        <w:spacing w:line="440" w:lineRule="exact"/>
        <w:ind w:right="200" w:rightChars="100" w:firstLine="480" w:firstLineChars="200"/>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2.1.5易损件、备件的供应</w:t>
      </w:r>
    </w:p>
    <w:p w14:paraId="0564EF10">
      <w:pPr>
        <w:wordWrap/>
        <w:autoSpaceDE/>
        <w:autoSpaceDN/>
        <w:spacing w:line="440" w:lineRule="exact"/>
        <w:ind w:right="200" w:rightChars="100" w:firstLine="480" w:firstLineChars="200"/>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2.1.6质保期以外技术支持或技术服务</w:t>
      </w:r>
    </w:p>
    <w:p w14:paraId="269BBAE7">
      <w:pPr>
        <w:wordWrap/>
        <w:autoSpaceDE/>
        <w:autoSpaceDN/>
        <w:spacing w:line="440" w:lineRule="exact"/>
        <w:ind w:right="200" w:rightChars="100" w:firstLine="480" w:firstLineChars="200"/>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2.1.7制定切实可行的操作规程和使用指南</w:t>
      </w:r>
    </w:p>
    <w:p w14:paraId="0C315907">
      <w:pPr>
        <w:wordWrap/>
        <w:autoSpaceDE/>
        <w:autoSpaceDN/>
        <w:spacing w:line="440" w:lineRule="exact"/>
        <w:outlineLvl w:val="9"/>
        <w:rPr>
          <w:rFonts w:hint="eastAsia" w:ascii="宋体" w:hAnsi="宋体" w:eastAsia="宋体" w:cs="宋体"/>
          <w:b/>
          <w:color w:val="auto"/>
          <w:sz w:val="24"/>
          <w:szCs w:val="24"/>
          <w:lang w:eastAsia="zh-CN"/>
        </w:rPr>
      </w:pPr>
    </w:p>
    <w:p w14:paraId="620EF212">
      <w:pPr>
        <w:wordWrap/>
        <w:autoSpaceDE/>
        <w:autoSpaceDN/>
        <w:spacing w:line="440" w:lineRule="exact"/>
        <w:outlineLvl w:val="9"/>
        <w:rPr>
          <w:rFonts w:hint="eastAsia" w:ascii="宋体" w:hAnsi="宋体" w:eastAsia="宋体" w:cs="宋体"/>
          <w:b/>
          <w:color w:val="auto"/>
          <w:sz w:val="30"/>
          <w:szCs w:val="30"/>
          <w:lang w:eastAsia="zh-CN"/>
        </w:rPr>
      </w:pPr>
      <w:r>
        <w:rPr>
          <w:rFonts w:hint="eastAsia" w:ascii="宋体" w:hAnsi="宋体" w:eastAsia="宋体" w:cs="宋体"/>
          <w:b/>
          <w:color w:val="auto"/>
          <w:sz w:val="30"/>
          <w:szCs w:val="30"/>
          <w:lang w:eastAsia="zh-CN"/>
        </w:rPr>
        <w:t>3 培训服务内容</w:t>
      </w:r>
    </w:p>
    <w:bookmarkEnd w:id="3"/>
    <w:bookmarkEnd w:id="4"/>
    <w:bookmarkEnd w:id="5"/>
    <w:p w14:paraId="2DB6CE64">
      <w:pPr>
        <w:wordWrap/>
        <w:autoSpaceDE/>
        <w:autoSpaceDN/>
        <w:spacing w:line="440" w:lineRule="exact"/>
        <w:ind w:right="200" w:rightChars="100"/>
        <w:outlineLvl w:val="9"/>
        <w:rPr>
          <w:rFonts w:hint="eastAsia" w:ascii="宋体" w:hAnsi="宋体" w:eastAsia="宋体" w:cs="宋体"/>
          <w:b/>
          <w:color w:val="auto"/>
          <w:sz w:val="24"/>
          <w:szCs w:val="24"/>
          <w:lang w:eastAsia="zh-CN"/>
        </w:rPr>
      </w:pPr>
      <w:r>
        <w:rPr>
          <w:rFonts w:hint="eastAsia" w:ascii="宋体" w:hAnsi="宋体" w:eastAsia="宋体" w:cs="宋体"/>
          <w:b/>
          <w:color w:val="auto"/>
          <w:sz w:val="24"/>
          <w:szCs w:val="24"/>
          <w:lang w:eastAsia="zh-CN"/>
        </w:rPr>
        <w:t>3.1培训方案</w:t>
      </w:r>
    </w:p>
    <w:p w14:paraId="37FF82C0">
      <w:pPr>
        <w:wordWrap/>
        <w:autoSpaceDE/>
        <w:autoSpaceDN/>
        <w:spacing w:line="440" w:lineRule="exact"/>
        <w:ind w:firstLine="480" w:firstLineChars="200"/>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培训目标和要求</w:t>
      </w:r>
    </w:p>
    <w:p w14:paraId="549C9439">
      <w:pPr>
        <w:wordWrap/>
        <w:autoSpaceDE/>
        <w:autoSpaceDN/>
        <w:spacing w:line="440" w:lineRule="exact"/>
        <w:jc w:val="left"/>
        <w:outlineLvl w:val="9"/>
        <w:rPr>
          <w:rFonts w:hint="eastAsia" w:ascii="宋体" w:hAnsi="宋体" w:eastAsia="宋体" w:cs="宋体"/>
          <w:b/>
          <w:color w:val="auto"/>
          <w:sz w:val="24"/>
          <w:szCs w:val="24"/>
          <w:lang w:eastAsia="zh-CN"/>
        </w:rPr>
      </w:pPr>
      <w:r>
        <w:rPr>
          <w:rFonts w:hint="eastAsia" w:ascii="宋体" w:hAnsi="宋体" w:eastAsia="宋体" w:cs="宋体"/>
          <w:b/>
          <w:color w:val="auto"/>
          <w:sz w:val="24"/>
          <w:szCs w:val="24"/>
          <w:lang w:eastAsia="zh-CN"/>
        </w:rPr>
        <w:t>3.2培训对象</w:t>
      </w:r>
    </w:p>
    <w:p w14:paraId="3C976566">
      <w:pPr>
        <w:wordWrap/>
        <w:autoSpaceDE/>
        <w:autoSpaceDN/>
        <w:spacing w:line="440" w:lineRule="exact"/>
        <w:outlineLvl w:val="9"/>
        <w:rPr>
          <w:rFonts w:hint="eastAsia" w:ascii="宋体" w:hAnsi="宋体" w:eastAsia="宋体" w:cs="宋体"/>
          <w:b/>
          <w:color w:val="auto"/>
          <w:sz w:val="24"/>
          <w:szCs w:val="24"/>
          <w:lang w:eastAsia="zh-CN"/>
        </w:rPr>
      </w:pPr>
      <w:r>
        <w:rPr>
          <w:rFonts w:hint="eastAsia" w:ascii="宋体" w:hAnsi="宋体" w:eastAsia="宋体" w:cs="宋体"/>
          <w:b/>
          <w:color w:val="auto"/>
          <w:sz w:val="24"/>
          <w:szCs w:val="24"/>
          <w:lang w:eastAsia="zh-CN"/>
        </w:rPr>
        <w:t>3.3培训方式</w:t>
      </w:r>
    </w:p>
    <w:p w14:paraId="6D2ED87A">
      <w:pPr>
        <w:wordWrap/>
        <w:autoSpaceDE/>
        <w:autoSpaceDN/>
        <w:spacing w:line="440" w:lineRule="exact"/>
        <w:ind w:firstLine="480" w:firstLineChars="200"/>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3.3.1系统使用培训：</w:t>
      </w:r>
    </w:p>
    <w:p w14:paraId="03F90D9F">
      <w:pPr>
        <w:wordWrap/>
        <w:autoSpaceDE/>
        <w:autoSpaceDN/>
        <w:spacing w:line="440" w:lineRule="exact"/>
        <w:ind w:firstLine="480" w:firstLineChars="200"/>
        <w:outlineLvl w:val="9"/>
        <w:rPr>
          <w:rFonts w:hint="eastAsia" w:ascii="宋体" w:hAnsi="宋体" w:eastAsia="宋体" w:cs="宋体"/>
          <w:bCs/>
          <w:color w:val="auto"/>
          <w:sz w:val="24"/>
          <w:szCs w:val="24"/>
          <w:lang w:eastAsia="zh-CN"/>
        </w:rPr>
      </w:pPr>
      <w:bookmarkStart w:id="9" w:name="_Toc343188540"/>
      <w:bookmarkStart w:id="10" w:name="_Toc302460939"/>
      <w:bookmarkStart w:id="11" w:name="_Toc304629018"/>
      <w:bookmarkStart w:id="12" w:name="_Toc313387932"/>
      <w:bookmarkStart w:id="13" w:name="_Toc317944561"/>
      <w:bookmarkStart w:id="14" w:name="_Toc333266004"/>
      <w:bookmarkStart w:id="15" w:name="_Toc312502614"/>
      <w:bookmarkStart w:id="16" w:name="_Toc301613871"/>
      <w:bookmarkStart w:id="17" w:name="_Toc301634428"/>
      <w:bookmarkStart w:id="18" w:name="_Toc301812591"/>
      <w:bookmarkStart w:id="19" w:name="_Toc316311443"/>
      <w:r>
        <w:rPr>
          <w:rFonts w:hint="eastAsia" w:ascii="宋体" w:hAnsi="宋体" w:eastAsia="宋体" w:cs="宋体"/>
          <w:bCs/>
          <w:color w:val="auto"/>
          <w:sz w:val="24"/>
          <w:szCs w:val="24"/>
          <w:lang w:eastAsia="zh-CN"/>
        </w:rPr>
        <w:t>3.3.2培训课程及培训人数</w:t>
      </w:r>
      <w:bookmarkEnd w:id="9"/>
      <w:bookmarkEnd w:id="10"/>
      <w:bookmarkEnd w:id="11"/>
      <w:bookmarkEnd w:id="12"/>
      <w:bookmarkEnd w:id="13"/>
      <w:bookmarkEnd w:id="14"/>
      <w:bookmarkEnd w:id="15"/>
      <w:bookmarkEnd w:id="16"/>
      <w:bookmarkEnd w:id="17"/>
      <w:bookmarkEnd w:id="18"/>
      <w:bookmarkEnd w:id="19"/>
      <w:r>
        <w:rPr>
          <w:rFonts w:hint="eastAsia" w:ascii="宋体" w:hAnsi="宋体" w:eastAsia="宋体" w:cs="宋体"/>
          <w:bCs/>
          <w:color w:val="auto"/>
          <w:sz w:val="24"/>
          <w:szCs w:val="24"/>
          <w:lang w:eastAsia="zh-CN"/>
        </w:rPr>
        <w:t>：</w:t>
      </w:r>
    </w:p>
    <w:p w14:paraId="4A14974F">
      <w:pPr>
        <w:wordWrap/>
        <w:autoSpaceDE/>
        <w:autoSpaceDN/>
        <w:spacing w:line="440" w:lineRule="exact"/>
        <w:ind w:firstLine="480" w:firstLineChars="200"/>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3.3.3培训教师安排</w:t>
      </w:r>
    </w:p>
    <w:p w14:paraId="7264C344">
      <w:pPr>
        <w:wordWrap/>
        <w:autoSpaceDE/>
        <w:autoSpaceDN/>
        <w:spacing w:line="440" w:lineRule="exact"/>
        <w:ind w:firstLine="480" w:firstLineChars="200"/>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3.3.4培训时间安排</w:t>
      </w:r>
    </w:p>
    <w:p w14:paraId="01DCC53D">
      <w:pPr>
        <w:wordWrap/>
        <w:autoSpaceDE/>
        <w:autoSpaceDN/>
        <w:spacing w:line="440" w:lineRule="exact"/>
        <w:ind w:firstLine="480" w:firstLineChars="200"/>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3.3.5培训及安全保证</w:t>
      </w:r>
    </w:p>
    <w:p w14:paraId="45DFA374">
      <w:pPr>
        <w:widowControl w:val="0"/>
        <w:wordWrap/>
        <w:autoSpaceDE/>
        <w:autoSpaceDN/>
        <w:spacing w:after="0" w:line="440" w:lineRule="exact"/>
        <w:ind w:left="0" w:leftChars="0" w:firstLine="480" w:firstLineChars="200"/>
        <w:jc w:val="both"/>
        <w:outlineLvl w:val="9"/>
        <w:rPr>
          <w:rFonts w:hint="eastAsia" w:ascii="宋体" w:hAnsi="宋体" w:eastAsia="宋体" w:cs="宋体"/>
          <w:snapToGrid w:val="0"/>
          <w:color w:val="auto"/>
          <w:kern w:val="2"/>
          <w:sz w:val="24"/>
          <w:szCs w:val="24"/>
          <w:lang w:val="en-US" w:eastAsia="zh-CN" w:bidi="ar-SA"/>
        </w:rPr>
      </w:pPr>
      <w:r>
        <w:rPr>
          <w:rFonts w:hint="eastAsia" w:ascii="宋体" w:hAnsi="宋体" w:eastAsia="宋体" w:cs="宋体"/>
          <w:snapToGrid w:val="0"/>
          <w:color w:val="auto"/>
          <w:kern w:val="2"/>
          <w:sz w:val="24"/>
          <w:szCs w:val="24"/>
          <w:lang w:val="en-US" w:eastAsia="zh-CN" w:bidi="ar-SA"/>
        </w:rPr>
        <w:t>① 为使操作人员尽快消化设备的技术特点、掌握操作方法，乙方应制订完善的培训计划，安排经验丰富技术人员，在设备安装的后期进行操作人员的培训。培训形式主要为现场培训。通过培训，使受训人员能对设备全面了解，掌握日常控制过程，有能力处理一般故障和进行日常维护，提高设备的使用质量，并消除设备因使用或操作不当而引起的故障，减少突发故障的发生，从而保证设备长期稳定的运行。</w:t>
      </w:r>
    </w:p>
    <w:p w14:paraId="7CA72CDE">
      <w:pPr>
        <w:wordWrap/>
        <w:autoSpaceDE/>
        <w:autoSpaceDN/>
        <w:spacing w:line="440" w:lineRule="exact"/>
        <w:ind w:firstLine="480" w:firstLineChars="200"/>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② 设备本体对可能造成伤害的部位均应采用防护板或防护网隔离并有醒目警示。</w:t>
      </w:r>
    </w:p>
    <w:p w14:paraId="7E870947">
      <w:pPr>
        <w:wordWrap/>
        <w:autoSpaceDE/>
        <w:autoSpaceDN/>
        <w:spacing w:line="440" w:lineRule="exact"/>
        <w:ind w:firstLine="480" w:firstLineChars="200"/>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③ 所用电气元件均按照国标选配，确保稳定安全，符合三防要求。</w:t>
      </w:r>
    </w:p>
    <w:p w14:paraId="1B17D98B">
      <w:pPr>
        <w:wordWrap/>
        <w:autoSpaceDE/>
        <w:autoSpaceDN/>
        <w:spacing w:line="440" w:lineRule="exact"/>
        <w:outlineLvl w:val="9"/>
        <w:rPr>
          <w:rFonts w:hint="eastAsia" w:ascii="宋体" w:hAnsi="宋体" w:eastAsia="宋体" w:cs="宋体"/>
          <w:b/>
          <w:color w:val="auto"/>
          <w:sz w:val="21"/>
          <w:szCs w:val="21"/>
          <w:lang w:eastAsia="zh-CN"/>
        </w:rPr>
      </w:pPr>
      <w:bookmarkStart w:id="20" w:name="_Toc345966825"/>
      <w:bookmarkStart w:id="21" w:name="_Toc346025578"/>
      <w:bookmarkStart w:id="22" w:name="_Toc345966650"/>
    </w:p>
    <w:p w14:paraId="10EE87BB">
      <w:pPr>
        <w:widowControl w:val="0"/>
        <w:numPr>
          <w:ilvl w:val="1"/>
          <w:numId w:val="1"/>
        </w:numPr>
        <w:wordWrap/>
        <w:autoSpaceDE/>
        <w:autoSpaceDN/>
        <w:spacing w:line="440" w:lineRule="exact"/>
        <w:ind w:left="0" w:firstLine="0" w:firstLineChars="0"/>
        <w:jc w:val="both"/>
        <w:outlineLvl w:val="9"/>
        <w:rPr>
          <w:rFonts w:hint="eastAsia" w:ascii="宋体" w:hAnsi="宋体" w:eastAsia="宋体" w:cs="宋体"/>
          <w:b/>
          <w:vanish/>
          <w:color w:val="auto"/>
          <w:kern w:val="2"/>
          <w:sz w:val="28"/>
          <w:szCs w:val="21"/>
          <w:lang w:val="en-US" w:eastAsia="zh-CN" w:bidi="ar-SA"/>
        </w:rPr>
      </w:pPr>
    </w:p>
    <w:p w14:paraId="49E3289C">
      <w:pPr>
        <w:widowControl w:val="0"/>
        <w:numPr>
          <w:ilvl w:val="1"/>
          <w:numId w:val="1"/>
        </w:numPr>
        <w:wordWrap/>
        <w:autoSpaceDE/>
        <w:autoSpaceDN/>
        <w:spacing w:line="440" w:lineRule="exact"/>
        <w:ind w:left="0" w:firstLine="0" w:firstLineChars="0"/>
        <w:jc w:val="both"/>
        <w:outlineLvl w:val="9"/>
        <w:rPr>
          <w:rFonts w:hint="eastAsia" w:ascii="宋体" w:hAnsi="宋体" w:eastAsia="宋体" w:cs="宋体"/>
          <w:b/>
          <w:vanish/>
          <w:color w:val="auto"/>
          <w:kern w:val="2"/>
          <w:sz w:val="28"/>
          <w:szCs w:val="21"/>
          <w:lang w:val="en-US" w:eastAsia="zh-CN" w:bidi="ar-SA"/>
        </w:rPr>
      </w:pPr>
    </w:p>
    <w:p w14:paraId="76EFDB1D">
      <w:pPr>
        <w:widowControl w:val="0"/>
        <w:numPr>
          <w:ilvl w:val="1"/>
          <w:numId w:val="1"/>
        </w:numPr>
        <w:wordWrap/>
        <w:autoSpaceDE/>
        <w:autoSpaceDN/>
        <w:spacing w:line="440" w:lineRule="exact"/>
        <w:ind w:left="0" w:firstLine="0" w:firstLineChars="0"/>
        <w:jc w:val="both"/>
        <w:outlineLvl w:val="9"/>
        <w:rPr>
          <w:rFonts w:hint="eastAsia" w:ascii="宋体" w:hAnsi="宋体" w:eastAsia="宋体" w:cs="宋体"/>
          <w:b/>
          <w:vanish/>
          <w:color w:val="auto"/>
          <w:kern w:val="2"/>
          <w:sz w:val="28"/>
          <w:szCs w:val="21"/>
          <w:lang w:val="en-US" w:eastAsia="zh-CN" w:bidi="ar-SA"/>
        </w:rPr>
      </w:pPr>
    </w:p>
    <w:p w14:paraId="26F93795">
      <w:pPr>
        <w:widowControl w:val="0"/>
        <w:numPr>
          <w:ilvl w:val="1"/>
          <w:numId w:val="1"/>
        </w:numPr>
        <w:wordWrap/>
        <w:autoSpaceDE/>
        <w:autoSpaceDN/>
        <w:spacing w:line="440" w:lineRule="exact"/>
        <w:ind w:left="0" w:firstLine="0" w:firstLineChars="0"/>
        <w:jc w:val="both"/>
        <w:outlineLvl w:val="9"/>
        <w:rPr>
          <w:rFonts w:hint="eastAsia" w:ascii="宋体" w:hAnsi="宋体" w:eastAsia="宋体" w:cs="宋体"/>
          <w:b/>
          <w:vanish/>
          <w:color w:val="auto"/>
          <w:kern w:val="2"/>
          <w:sz w:val="28"/>
          <w:szCs w:val="21"/>
          <w:lang w:val="en-US" w:eastAsia="zh-CN" w:bidi="ar-SA"/>
        </w:rPr>
      </w:pPr>
    </w:p>
    <w:bookmarkEnd w:id="20"/>
    <w:bookmarkEnd w:id="21"/>
    <w:bookmarkEnd w:id="22"/>
    <w:p w14:paraId="1BF9D6F6">
      <w:pPr>
        <w:wordWrap/>
        <w:autoSpaceDE/>
        <w:autoSpaceDN/>
        <w:spacing w:line="440" w:lineRule="exact"/>
        <w:outlineLvl w:val="9"/>
        <w:rPr>
          <w:rFonts w:hint="eastAsia" w:ascii="宋体" w:hAnsi="宋体" w:eastAsia="宋体" w:cs="宋体"/>
          <w:color w:val="auto"/>
          <w:sz w:val="21"/>
          <w:szCs w:val="21"/>
          <w:lang w:eastAsia="zh-CN"/>
        </w:rPr>
      </w:pPr>
    </w:p>
    <w:p w14:paraId="3955A8ED">
      <w:pPr>
        <w:wordWrap/>
        <w:autoSpaceDE/>
        <w:autoSpaceDN/>
        <w:spacing w:line="440" w:lineRule="exact"/>
        <w:ind w:firstLine="420" w:firstLineChars="200"/>
        <w:outlineLvl w:val="9"/>
        <w:rPr>
          <w:rFonts w:hint="eastAsia" w:ascii="宋体" w:hAnsi="宋体" w:eastAsia="宋体" w:cs="宋体"/>
          <w:color w:val="auto"/>
          <w:sz w:val="21"/>
          <w:szCs w:val="21"/>
          <w:lang w:eastAsia="zh-CN"/>
        </w:rPr>
      </w:pPr>
    </w:p>
    <w:p w14:paraId="2BE3F941">
      <w:pPr>
        <w:widowControl/>
        <w:wordWrap/>
        <w:autoSpaceDE/>
        <w:autoSpaceDN/>
        <w:spacing w:before="100" w:beforeAutospacing="1" w:after="100" w:afterAutospacing="1" w:line="320" w:lineRule="exact"/>
        <w:outlineLvl w:val="9"/>
        <w:rPr>
          <w:rFonts w:hint="eastAsia" w:ascii="宋体" w:hAnsi="宋体" w:eastAsia="宋体" w:cs="宋体"/>
          <w:b/>
          <w:color w:val="auto"/>
          <w:sz w:val="24"/>
          <w:szCs w:val="22"/>
          <w:lang w:eastAsia="zh-CN"/>
        </w:rPr>
      </w:pPr>
      <w:r>
        <w:rPr>
          <w:rFonts w:hint="eastAsia" w:ascii="宋体" w:hAnsi="宋体" w:eastAsia="宋体" w:cs="宋体"/>
          <w:b/>
          <w:color w:val="auto"/>
          <w:sz w:val="24"/>
          <w:szCs w:val="22"/>
          <w:lang w:eastAsia="zh-CN"/>
        </w:rPr>
        <w:t>甲方使用单位：西安建筑科技大学XX学院</w:t>
      </w:r>
      <w:r>
        <w:rPr>
          <w:rFonts w:hint="eastAsia" w:ascii="宋体" w:hAnsi="宋体" w:eastAsia="宋体" w:cs="宋体"/>
          <w:b/>
          <w:color w:val="auto"/>
          <w:sz w:val="24"/>
          <w:szCs w:val="22"/>
          <w:lang w:eastAsia="zh-CN"/>
        </w:rPr>
        <w:tab/>
      </w:r>
      <w:r>
        <w:rPr>
          <w:rFonts w:hint="eastAsia" w:ascii="宋体" w:hAnsi="宋体" w:eastAsia="宋体" w:cs="宋体"/>
          <w:b/>
          <w:color w:val="auto"/>
          <w:sz w:val="24"/>
          <w:szCs w:val="22"/>
          <w:lang w:eastAsia="zh-CN"/>
        </w:rPr>
        <w:t xml:space="preserve">          乙方： </w:t>
      </w:r>
    </w:p>
    <w:p w14:paraId="297BE94C">
      <w:pPr>
        <w:wordWrap/>
        <w:autoSpaceDE/>
        <w:autoSpaceDN/>
        <w:outlineLvl w:val="9"/>
        <w:rPr>
          <w:rFonts w:hint="eastAsia" w:ascii="宋体" w:hAnsi="宋体" w:eastAsia="宋体" w:cs="宋体"/>
          <w:b/>
          <w:color w:val="auto"/>
          <w:sz w:val="24"/>
          <w:szCs w:val="22"/>
          <w:lang w:eastAsia="zh-CN"/>
        </w:rPr>
      </w:pPr>
    </w:p>
    <w:p w14:paraId="1FDA2BC1">
      <w:pPr>
        <w:wordWrap/>
        <w:autoSpaceDE/>
        <w:autoSpaceDN/>
        <w:outlineLvl w:val="9"/>
        <w:rPr>
          <w:rFonts w:hint="eastAsia" w:ascii="宋体" w:hAnsi="宋体" w:eastAsia="宋体" w:cs="宋体"/>
          <w:b/>
          <w:color w:val="auto"/>
          <w:sz w:val="24"/>
          <w:szCs w:val="22"/>
          <w:lang w:eastAsia="zh-CN"/>
        </w:rPr>
      </w:pPr>
      <w:r>
        <w:rPr>
          <w:rFonts w:hint="eastAsia" w:ascii="宋体" w:hAnsi="宋体" w:eastAsia="宋体" w:cs="宋体"/>
          <w:b/>
          <w:color w:val="auto"/>
          <w:sz w:val="24"/>
          <w:szCs w:val="22"/>
          <w:lang w:eastAsia="zh-CN"/>
        </w:rPr>
        <w:t>负责人：                                        负责人：</w:t>
      </w:r>
    </w:p>
    <w:p w14:paraId="4E5FBC28">
      <w:pPr>
        <w:wordWrap/>
        <w:autoSpaceDE/>
        <w:autoSpaceDN/>
        <w:outlineLvl w:val="9"/>
        <w:rPr>
          <w:rFonts w:hint="eastAsia" w:ascii="宋体" w:hAnsi="宋体" w:eastAsia="宋体" w:cs="宋体"/>
          <w:b/>
          <w:color w:val="auto"/>
          <w:sz w:val="24"/>
          <w:szCs w:val="22"/>
          <w:lang w:eastAsia="zh-CN"/>
        </w:rPr>
      </w:pPr>
    </w:p>
    <w:p w14:paraId="041C8A4D">
      <w:pPr>
        <w:wordWrap/>
        <w:autoSpaceDE/>
        <w:autoSpaceDN/>
        <w:outlineLvl w:val="9"/>
        <w:rPr>
          <w:rFonts w:hint="eastAsia" w:ascii="宋体" w:hAnsi="宋体" w:eastAsia="宋体" w:cs="宋体"/>
          <w:b/>
          <w:color w:val="auto"/>
          <w:sz w:val="24"/>
          <w:szCs w:val="22"/>
          <w:lang w:eastAsia="zh-CN"/>
        </w:rPr>
      </w:pPr>
    </w:p>
    <w:p w14:paraId="3AC23FE7">
      <w:pPr>
        <w:wordWrap/>
        <w:autoSpaceDE/>
        <w:autoSpaceDN/>
        <w:outlineLvl w:val="9"/>
        <w:rPr>
          <w:rFonts w:hint="eastAsia" w:ascii="宋体" w:hAnsi="宋体" w:eastAsia="宋体" w:cs="宋体"/>
          <w:color w:val="auto"/>
          <w:sz w:val="21"/>
          <w:szCs w:val="22"/>
          <w:lang w:eastAsia="zh-CN"/>
        </w:rPr>
      </w:pPr>
    </w:p>
    <w:p w14:paraId="369C2D1B">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p>
    <w:p w14:paraId="38BC3899">
      <w:pPr>
        <w:wordWrap/>
        <w:autoSpaceDE/>
        <w:autoSpaceDN/>
        <w:outlineLvl w:val="9"/>
        <w:rPr>
          <w:rFonts w:hint="eastAsia" w:ascii="宋体" w:hAnsi="宋体" w:eastAsia="宋体" w:cs="宋体"/>
          <w:color w:val="auto"/>
          <w:kern w:val="0"/>
          <w:sz w:val="28"/>
          <w:szCs w:val="28"/>
          <w:lang w:eastAsia="zh-CN"/>
        </w:rPr>
      </w:pPr>
      <w:r>
        <w:rPr>
          <w:rFonts w:hint="eastAsia" w:ascii="宋体" w:hAnsi="宋体" w:eastAsia="宋体" w:cs="宋体"/>
          <w:color w:val="auto"/>
          <w:kern w:val="0"/>
          <w:sz w:val="28"/>
          <w:szCs w:val="28"/>
          <w:lang w:eastAsia="zh-CN"/>
        </w:rPr>
        <w:br w:type="page"/>
      </w:r>
    </w:p>
    <w:p w14:paraId="3D992E8A">
      <w:pPr>
        <w:widowControl/>
        <w:wordWrap/>
        <w:autoSpaceDE/>
        <w:autoSpaceDN/>
        <w:spacing w:line="360" w:lineRule="auto"/>
        <w:jc w:val="left"/>
        <w:outlineLvl w:val="9"/>
        <w:rPr>
          <w:rFonts w:hint="eastAsia" w:ascii="宋体" w:hAnsi="宋体" w:eastAsia="宋体" w:cs="宋体"/>
          <w:color w:val="auto"/>
          <w:kern w:val="0"/>
          <w:sz w:val="28"/>
          <w:szCs w:val="28"/>
          <w:lang w:eastAsia="zh-CN"/>
        </w:rPr>
      </w:pPr>
      <w:r>
        <w:rPr>
          <w:rFonts w:hint="eastAsia" w:ascii="宋体" w:hAnsi="宋体" w:eastAsia="宋体" w:cs="宋体"/>
          <w:color w:val="auto"/>
          <w:kern w:val="0"/>
          <w:sz w:val="28"/>
          <w:szCs w:val="28"/>
          <w:lang w:eastAsia="zh-CN"/>
        </w:rPr>
        <w:t>附件2：验收方法及标准</w:t>
      </w:r>
    </w:p>
    <w:p w14:paraId="1E5A5DDD">
      <w:pPr>
        <w:widowControl/>
        <w:wordWrap/>
        <w:autoSpaceDE/>
        <w:autoSpaceDN/>
        <w:spacing w:line="360" w:lineRule="auto"/>
        <w:jc w:val="center"/>
        <w:rPr>
          <w:rFonts w:ascii="宋体" w:hAnsi="宋体" w:cs="宋体"/>
          <w:b/>
          <w:kern w:val="0"/>
          <w:sz w:val="28"/>
          <w:szCs w:val="28"/>
          <w:highlight w:val="none"/>
          <w:lang w:eastAsia="zh-CN"/>
        </w:rPr>
      </w:pPr>
      <w:r>
        <w:rPr>
          <w:rFonts w:hint="eastAsia" w:ascii="宋体" w:hAnsi="宋体" w:cs="宋体"/>
          <w:b/>
          <w:kern w:val="0"/>
          <w:sz w:val="28"/>
          <w:szCs w:val="28"/>
          <w:highlight w:val="none"/>
          <w:lang w:eastAsia="zh-CN"/>
        </w:rPr>
        <w:t>验收方法及标准</w:t>
      </w:r>
    </w:p>
    <w:p w14:paraId="7E5455CD">
      <w:pPr>
        <w:widowControl/>
        <w:wordWrap/>
        <w:autoSpaceDE/>
        <w:autoSpaceDN/>
        <w:spacing w:line="360" w:lineRule="auto"/>
        <w:ind w:firstLine="482" w:firstLineChars="200"/>
        <w:jc w:val="left"/>
        <w:rPr>
          <w:rFonts w:ascii="宋体" w:hAnsi="宋体" w:cs="宋体"/>
          <w:b/>
          <w:sz w:val="24"/>
          <w:szCs w:val="24"/>
          <w:lang w:eastAsia="zh-CN"/>
        </w:rPr>
      </w:pPr>
      <w:r>
        <w:rPr>
          <w:rFonts w:hint="eastAsia" w:ascii="宋体" w:hAnsi="宋体" w:cs="宋体"/>
          <w:b/>
          <w:sz w:val="24"/>
          <w:szCs w:val="24"/>
          <w:lang w:eastAsia="zh-CN"/>
        </w:rPr>
        <w:t>一、验收标准和方法：</w:t>
      </w:r>
    </w:p>
    <w:p w14:paraId="648DC59C">
      <w:pPr>
        <w:widowControl/>
        <w:wordWrap/>
        <w:autoSpaceDE/>
        <w:autoSpaceDN/>
        <w:spacing w:line="360" w:lineRule="auto"/>
        <w:ind w:firstLine="480" w:firstLineChars="200"/>
        <w:jc w:val="left"/>
        <w:rPr>
          <w:rFonts w:ascii="宋体" w:hAnsi="宋体" w:cs="宋体"/>
          <w:sz w:val="24"/>
          <w:szCs w:val="24"/>
          <w:lang w:eastAsia="zh-CN"/>
        </w:rPr>
      </w:pPr>
      <w:r>
        <w:rPr>
          <w:rFonts w:hint="eastAsia" w:ascii="宋体" w:hAnsi="宋体" w:cs="宋体"/>
          <w:sz w:val="24"/>
          <w:szCs w:val="24"/>
          <w:lang w:eastAsia="zh-CN"/>
        </w:rPr>
        <w:t>1.仪器设备的验收内容包括商务验收、技术验收和安全性能验收三部分。</w:t>
      </w:r>
    </w:p>
    <w:p w14:paraId="5CD4107B">
      <w:pPr>
        <w:widowControl/>
        <w:wordWrap/>
        <w:autoSpaceDE/>
        <w:autoSpaceDN/>
        <w:spacing w:line="360" w:lineRule="auto"/>
        <w:ind w:firstLine="480" w:firstLineChars="200"/>
        <w:jc w:val="left"/>
        <w:rPr>
          <w:rFonts w:ascii="宋体" w:hAnsi="宋体" w:cs="宋体"/>
          <w:sz w:val="24"/>
          <w:szCs w:val="24"/>
          <w:lang w:eastAsia="zh-CN"/>
        </w:rPr>
      </w:pPr>
      <w:r>
        <w:rPr>
          <w:rFonts w:hint="eastAsia" w:ascii="宋体" w:hAnsi="宋体" w:cs="宋体"/>
          <w:sz w:val="24"/>
          <w:szCs w:val="24"/>
          <w:lang w:eastAsia="zh-CN"/>
        </w:rPr>
        <w:t>1.1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w:t>
      </w:r>
    </w:p>
    <w:p w14:paraId="4D5922EF">
      <w:pPr>
        <w:widowControl/>
        <w:wordWrap/>
        <w:autoSpaceDE/>
        <w:autoSpaceDN/>
        <w:spacing w:line="360" w:lineRule="auto"/>
        <w:ind w:firstLine="480" w:firstLineChars="200"/>
        <w:jc w:val="left"/>
        <w:rPr>
          <w:rFonts w:hint="eastAsia" w:ascii="宋体" w:hAnsi="宋体" w:cs="宋体"/>
          <w:sz w:val="24"/>
          <w:szCs w:val="24"/>
          <w:highlight w:val="none"/>
          <w:lang w:eastAsia="zh-CN"/>
        </w:rPr>
      </w:pPr>
      <w:r>
        <w:rPr>
          <w:rFonts w:hint="eastAsia" w:ascii="宋体" w:hAnsi="宋体" w:cs="宋体"/>
          <w:sz w:val="24"/>
          <w:szCs w:val="24"/>
          <w:lang w:eastAsia="zh-CN"/>
        </w:rPr>
        <w:t>1.2技术验收是指</w:t>
      </w:r>
      <w:r>
        <w:rPr>
          <w:rFonts w:hint="eastAsia" w:ascii="宋体" w:hAnsi="宋体" w:cs="宋体"/>
          <w:sz w:val="24"/>
          <w:szCs w:val="24"/>
          <w:highlight w:val="none"/>
          <w:lang w:eastAsia="zh-CN"/>
        </w:rPr>
        <w:t>由使用单位依据合同技术附件、招投标文件及产品出厂的主要技术指标，对仪器设备的各项功能进行验收。</w:t>
      </w:r>
    </w:p>
    <w:p w14:paraId="5092150D">
      <w:pPr>
        <w:widowControl/>
        <w:wordWrap/>
        <w:autoSpaceDE/>
        <w:autoSpaceDN/>
        <w:spacing w:line="360" w:lineRule="auto"/>
        <w:ind w:firstLine="480" w:firstLineChars="200"/>
        <w:jc w:val="left"/>
        <w:rPr>
          <w:rFonts w:hint="eastAsia" w:ascii="宋体" w:hAnsi="宋体" w:cs="宋体"/>
          <w:sz w:val="24"/>
          <w:szCs w:val="24"/>
          <w:highlight w:val="none"/>
          <w:lang w:eastAsia="zh-CN"/>
        </w:rPr>
      </w:pPr>
      <w:r>
        <w:rPr>
          <w:rFonts w:hint="eastAsia" w:ascii="宋体" w:hAnsi="宋体" w:cs="宋体"/>
          <w:sz w:val="24"/>
          <w:szCs w:val="24"/>
          <w:highlight w:val="none"/>
          <w:lang w:eastAsia="zh-CN"/>
        </w:rPr>
        <w:t>1.2.1验收方式：设备到货后，由采购方组织，供货方配合，按本验收条件逐项进行现场检验与测试；所有指标需满足或优于技术要求，提供有效佐证材料。</w:t>
      </w:r>
    </w:p>
    <w:p w14:paraId="1DB0DDF0">
      <w:pPr>
        <w:widowControl/>
        <w:wordWrap/>
        <w:autoSpaceDE/>
        <w:autoSpaceDN/>
        <w:spacing w:line="360" w:lineRule="auto"/>
        <w:ind w:firstLine="480" w:firstLineChars="200"/>
        <w:jc w:val="left"/>
        <w:rPr>
          <w:rFonts w:ascii="宋体" w:hAnsi="宋体" w:cs="宋体"/>
          <w:sz w:val="24"/>
          <w:szCs w:val="24"/>
          <w:highlight w:val="none"/>
          <w:lang w:eastAsia="zh-CN"/>
        </w:rPr>
      </w:pPr>
      <w:r>
        <w:rPr>
          <w:rFonts w:hint="eastAsia" w:ascii="宋体" w:hAnsi="宋体" w:cs="宋体"/>
          <w:sz w:val="24"/>
          <w:szCs w:val="24"/>
          <w:highlight w:val="none"/>
          <w:lang w:eastAsia="zh-CN"/>
        </w:rPr>
        <w:t>1.2.2验收标准：所有硬件、软件指标需符合招标文件技术要求，无功能缺失、性能不达标情况。</w:t>
      </w:r>
    </w:p>
    <w:p w14:paraId="66A1F5A3">
      <w:pPr>
        <w:widowControl/>
        <w:wordWrap/>
        <w:autoSpaceDE/>
        <w:autoSpaceDN/>
        <w:spacing w:line="360" w:lineRule="auto"/>
        <w:ind w:firstLine="480" w:firstLineChars="200"/>
        <w:jc w:val="left"/>
        <w:rPr>
          <w:rFonts w:ascii="宋体" w:hAnsi="宋体" w:cs="宋体"/>
          <w:sz w:val="24"/>
          <w:szCs w:val="24"/>
          <w:lang w:eastAsia="zh-CN"/>
        </w:rPr>
      </w:pPr>
      <w:r>
        <w:rPr>
          <w:rFonts w:hint="eastAsia" w:ascii="宋体" w:hAnsi="宋体" w:cs="宋体"/>
          <w:sz w:val="24"/>
          <w:szCs w:val="24"/>
          <w:lang w:eastAsia="zh-CN"/>
        </w:rPr>
        <w:t>1.3安全性能验收主要是指对仪器设备以及其安装场地、使用环境等辅助设施的安全性进行的验收。</w:t>
      </w:r>
    </w:p>
    <w:p w14:paraId="21AF834F">
      <w:pPr>
        <w:widowControl/>
        <w:wordWrap/>
        <w:autoSpaceDE/>
        <w:autoSpaceDN/>
        <w:spacing w:line="360" w:lineRule="auto"/>
        <w:ind w:firstLine="480" w:firstLineChars="200"/>
        <w:jc w:val="left"/>
        <w:rPr>
          <w:rFonts w:ascii="宋体" w:hAnsi="宋体" w:cs="宋体"/>
          <w:sz w:val="24"/>
          <w:szCs w:val="24"/>
          <w:lang w:eastAsia="zh-CN"/>
        </w:rPr>
      </w:pPr>
      <w:r>
        <w:rPr>
          <w:rFonts w:hint="eastAsia" w:ascii="宋体" w:hAnsi="宋体" w:cs="宋体"/>
          <w:sz w:val="24"/>
          <w:szCs w:val="24"/>
          <w:lang w:eastAsia="zh-CN"/>
        </w:rPr>
        <w:t>2.验收分为一次验收（初验）、专家验收和二次验收（终验）。</w:t>
      </w:r>
    </w:p>
    <w:p w14:paraId="54C5C9E8">
      <w:pPr>
        <w:widowControl/>
        <w:wordWrap/>
        <w:autoSpaceDE/>
        <w:autoSpaceDN/>
        <w:spacing w:line="360" w:lineRule="auto"/>
        <w:ind w:firstLine="480" w:firstLineChars="200"/>
        <w:jc w:val="left"/>
        <w:rPr>
          <w:rFonts w:ascii="宋体" w:hAnsi="宋体" w:cs="宋体"/>
          <w:sz w:val="24"/>
          <w:szCs w:val="24"/>
          <w:lang w:eastAsia="zh-CN"/>
        </w:rPr>
      </w:pPr>
      <w:r>
        <w:rPr>
          <w:rFonts w:hint="eastAsia" w:ascii="宋体" w:hAnsi="宋体" w:cs="宋体"/>
          <w:sz w:val="24"/>
          <w:szCs w:val="24"/>
          <w:lang w:eastAsia="zh-CN"/>
        </w:rPr>
        <w:t>2.1一次验收（初验）：由使用单位依据合同及上述规定的三部分验收内容逐条逐项一一核对。</w:t>
      </w:r>
    </w:p>
    <w:p w14:paraId="43F5312E">
      <w:pPr>
        <w:widowControl/>
        <w:wordWrap/>
        <w:autoSpaceDE/>
        <w:autoSpaceDN/>
        <w:spacing w:line="360" w:lineRule="auto"/>
        <w:ind w:firstLine="480" w:firstLineChars="200"/>
        <w:jc w:val="left"/>
        <w:rPr>
          <w:rFonts w:ascii="宋体" w:hAnsi="宋体" w:cs="宋体"/>
          <w:sz w:val="24"/>
          <w:szCs w:val="24"/>
          <w:lang w:eastAsia="zh-CN"/>
        </w:rPr>
      </w:pPr>
      <w:r>
        <w:rPr>
          <w:rFonts w:hint="eastAsia" w:ascii="宋体" w:hAnsi="宋体" w:cs="宋体"/>
          <w:sz w:val="24"/>
          <w:szCs w:val="24"/>
          <w:lang w:eastAsia="zh-CN"/>
        </w:rPr>
        <w:t>2.2专家验收：由专家组核查设备的技术性能、功能指标、安全性与合规性、配套资料完整性，以及是否满足合同约定及实际使用需求，确保设备质量合格、运行可靠，能够有效服务于教学、科研。</w:t>
      </w:r>
    </w:p>
    <w:p w14:paraId="70905508">
      <w:pPr>
        <w:widowControl/>
        <w:wordWrap/>
        <w:autoSpaceDE/>
        <w:autoSpaceDN/>
        <w:spacing w:line="360" w:lineRule="auto"/>
        <w:ind w:firstLine="480" w:firstLineChars="200"/>
        <w:jc w:val="left"/>
        <w:rPr>
          <w:rFonts w:hint="eastAsia" w:ascii="宋体" w:hAnsi="宋体" w:cs="宋体"/>
          <w:sz w:val="24"/>
          <w:szCs w:val="24"/>
          <w:lang w:eastAsia="zh-CN"/>
        </w:rPr>
      </w:pPr>
      <w:r>
        <w:rPr>
          <w:rFonts w:hint="eastAsia" w:ascii="宋体" w:hAnsi="宋体" w:cs="宋体"/>
          <w:sz w:val="24"/>
          <w:szCs w:val="24"/>
          <w:lang w:eastAsia="zh-CN"/>
        </w:rPr>
        <w:t>2.3二次验收（终验）：由学校验收小组核实使用单位初验意见及专家组验收意见，依据合同，结合使用单位提交的初验资料，对所供仪器设备进行抽样或全面检查，核实相关技术指标，观看现场演示。</w:t>
      </w:r>
    </w:p>
    <w:p w14:paraId="15C51142">
      <w:pPr>
        <w:widowControl/>
        <w:wordWrap/>
        <w:autoSpaceDE/>
        <w:autoSpaceDN/>
        <w:spacing w:line="360" w:lineRule="auto"/>
        <w:ind w:firstLine="482" w:firstLineChars="200"/>
        <w:jc w:val="left"/>
        <w:rPr>
          <w:rFonts w:hint="eastAsia" w:ascii="宋体" w:hAnsi="宋体" w:cs="宋体"/>
          <w:b/>
          <w:bCs/>
          <w:sz w:val="24"/>
          <w:szCs w:val="24"/>
          <w:lang w:val="en-US" w:eastAsia="zh-CN"/>
        </w:rPr>
      </w:pPr>
      <w:r>
        <w:rPr>
          <w:rFonts w:hint="eastAsia" w:ascii="宋体" w:hAnsi="宋体" w:cs="宋体"/>
          <w:b/>
          <w:bCs/>
          <w:sz w:val="24"/>
          <w:szCs w:val="24"/>
          <w:lang w:val="en-US" w:eastAsia="zh-CN"/>
        </w:rPr>
        <w:t>二、验收条件：</w:t>
      </w:r>
    </w:p>
    <w:p w14:paraId="2259AA9F">
      <w:pPr>
        <w:wordWrap/>
        <w:autoSpaceDE/>
        <w:autoSpaceDN/>
        <w:rPr>
          <w:rFonts w:ascii="Times New Roman" w:hAnsi="Times New Roman" w:cs="Times New Roman"/>
          <w:sz w:val="21"/>
          <w:szCs w:val="21"/>
          <w:highlight w:val="none"/>
          <w:lang w:eastAsia="zh-CN"/>
        </w:rPr>
      </w:pPr>
      <w:r>
        <w:rPr>
          <w:rFonts w:ascii="宋体" w:hAnsi="宋体" w:cs="宋体"/>
          <w:bCs/>
          <w:sz w:val="24"/>
          <w:szCs w:val="24"/>
          <w:highlight w:val="none"/>
          <w:lang w:eastAsia="zh-CN"/>
        </w:rPr>
        <w:t>高精度立体成像系统</w:t>
      </w:r>
      <w:r>
        <w:rPr>
          <w:rFonts w:hint="eastAsia" w:ascii="宋体" w:hAnsi="宋体" w:cs="Times New Roman"/>
          <w:sz w:val="24"/>
          <w:szCs w:val="24"/>
          <w:highlight w:val="none"/>
          <w:lang w:eastAsia="zh-CN"/>
        </w:rPr>
        <w:t>硬件验收条件</w:t>
      </w:r>
      <w:r>
        <w:rPr>
          <w:rFonts w:hint="eastAsia" w:ascii="Times New Roman" w:hAnsi="Times New Roman" w:cs="Times New Roman"/>
          <w:sz w:val="21"/>
          <w:szCs w:val="21"/>
          <w:highlight w:val="none"/>
          <w:lang w:eastAsia="zh-CN"/>
        </w:rPr>
        <w:t>：</w:t>
      </w:r>
    </w:p>
    <w:tbl>
      <w:tblPr>
        <w:tblStyle w:val="11"/>
        <w:tblW w:w="554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450"/>
        <w:gridCol w:w="3314"/>
        <w:gridCol w:w="4138"/>
        <w:gridCol w:w="1519"/>
      </w:tblGrid>
      <w:tr w14:paraId="01C99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239" w:type="pct"/>
            <w:tcMar>
              <w:top w:w="96" w:type="dxa"/>
              <w:left w:w="96" w:type="dxa"/>
              <w:bottom w:w="96" w:type="dxa"/>
              <w:right w:w="96" w:type="dxa"/>
            </w:tcMar>
            <w:vAlign w:val="center"/>
          </w:tcPr>
          <w:p w14:paraId="7C7C5541">
            <w:pPr>
              <w:widowControl/>
              <w:wordWrap/>
              <w:autoSpaceDE/>
              <w:autoSpaceDN/>
              <w:jc w:val="center"/>
              <w:rPr>
                <w:rFonts w:ascii="Times New Roman" w:hAnsi="Times New Roman" w:cs="Times New Roman"/>
                <w:b/>
                <w:bCs/>
                <w:sz w:val="21"/>
                <w:szCs w:val="21"/>
                <w:lang w:eastAsia="zh-CN"/>
              </w:rPr>
            </w:pPr>
            <w:r>
              <w:rPr>
                <w:rFonts w:hint="eastAsia" w:ascii="宋体" w:hAnsi="宋体" w:cs="Times New Roman"/>
                <w:b/>
                <w:bCs/>
                <w:kern w:val="0"/>
                <w:sz w:val="24"/>
                <w:szCs w:val="24"/>
                <w:lang w:eastAsia="zh-CN"/>
              </w:rPr>
              <w:t>序号</w:t>
            </w:r>
          </w:p>
        </w:tc>
        <w:tc>
          <w:tcPr>
            <w:tcW w:w="1758" w:type="pct"/>
            <w:tcMar>
              <w:top w:w="96" w:type="dxa"/>
              <w:left w:w="96" w:type="dxa"/>
              <w:bottom w:w="96" w:type="dxa"/>
              <w:right w:w="96" w:type="dxa"/>
            </w:tcMar>
            <w:vAlign w:val="center"/>
          </w:tcPr>
          <w:p w14:paraId="606E6740">
            <w:pPr>
              <w:widowControl/>
              <w:wordWrap/>
              <w:autoSpaceDE/>
              <w:autoSpaceDN/>
              <w:jc w:val="center"/>
              <w:rPr>
                <w:rFonts w:ascii="Times New Roman" w:hAnsi="Times New Roman" w:cs="Times New Roman"/>
                <w:b/>
                <w:bCs/>
                <w:sz w:val="21"/>
                <w:szCs w:val="21"/>
                <w:lang w:eastAsia="zh-CN"/>
              </w:rPr>
            </w:pPr>
            <w:r>
              <w:rPr>
                <w:rFonts w:hint="eastAsia" w:ascii="宋体" w:hAnsi="宋体" w:cs="Times New Roman"/>
                <w:b/>
                <w:bCs/>
                <w:kern w:val="0"/>
                <w:sz w:val="24"/>
                <w:szCs w:val="24"/>
                <w:lang w:eastAsia="zh-CN"/>
              </w:rPr>
              <w:t>技术要求</w:t>
            </w:r>
          </w:p>
        </w:tc>
        <w:tc>
          <w:tcPr>
            <w:tcW w:w="2195" w:type="pct"/>
            <w:tcMar>
              <w:top w:w="96" w:type="dxa"/>
              <w:left w:w="96" w:type="dxa"/>
              <w:bottom w:w="96" w:type="dxa"/>
              <w:right w:w="96" w:type="dxa"/>
            </w:tcMar>
            <w:vAlign w:val="center"/>
          </w:tcPr>
          <w:p w14:paraId="1E373EF4">
            <w:pPr>
              <w:widowControl/>
              <w:wordWrap/>
              <w:autoSpaceDE/>
              <w:autoSpaceDN/>
              <w:jc w:val="center"/>
              <w:rPr>
                <w:rFonts w:ascii="Times New Roman" w:hAnsi="Times New Roman" w:cs="Times New Roman"/>
                <w:b/>
                <w:bCs/>
                <w:sz w:val="21"/>
                <w:szCs w:val="21"/>
                <w:lang w:eastAsia="zh-CN"/>
              </w:rPr>
            </w:pPr>
            <w:r>
              <w:rPr>
                <w:rFonts w:hint="eastAsia" w:ascii="宋体" w:hAnsi="宋体" w:cs="Times New Roman"/>
                <w:b/>
                <w:bCs/>
                <w:kern w:val="0"/>
                <w:sz w:val="24"/>
                <w:szCs w:val="24"/>
                <w:lang w:eastAsia="zh-CN"/>
              </w:rPr>
              <w:t>验收方法与验收标准</w:t>
            </w:r>
          </w:p>
        </w:tc>
        <w:tc>
          <w:tcPr>
            <w:tcW w:w="806" w:type="pct"/>
            <w:tcMar>
              <w:top w:w="96" w:type="dxa"/>
              <w:left w:w="96" w:type="dxa"/>
              <w:bottom w:w="96" w:type="dxa"/>
              <w:right w:w="96" w:type="dxa"/>
            </w:tcMar>
            <w:vAlign w:val="center"/>
          </w:tcPr>
          <w:p w14:paraId="236ADB66">
            <w:pPr>
              <w:widowControl/>
              <w:wordWrap/>
              <w:autoSpaceDE/>
              <w:autoSpaceDN/>
              <w:jc w:val="center"/>
              <w:rPr>
                <w:rFonts w:ascii="Times New Roman" w:hAnsi="Times New Roman" w:cs="Times New Roman"/>
                <w:b/>
                <w:bCs/>
                <w:sz w:val="21"/>
                <w:szCs w:val="21"/>
                <w:lang w:eastAsia="zh-CN"/>
              </w:rPr>
            </w:pPr>
            <w:r>
              <w:rPr>
                <w:rFonts w:hint="eastAsia" w:ascii="宋体" w:hAnsi="宋体" w:cs="Times New Roman"/>
                <w:b/>
                <w:bCs/>
                <w:kern w:val="0"/>
                <w:sz w:val="24"/>
                <w:szCs w:val="24"/>
                <w:lang w:eastAsia="zh-CN"/>
              </w:rPr>
              <w:t>需提供佐证材料</w:t>
            </w:r>
          </w:p>
        </w:tc>
      </w:tr>
      <w:tr w14:paraId="438D0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239" w:type="pct"/>
            <w:tcMar>
              <w:top w:w="96" w:type="dxa"/>
              <w:left w:w="96" w:type="dxa"/>
              <w:bottom w:w="96" w:type="dxa"/>
              <w:right w:w="96" w:type="dxa"/>
            </w:tcMar>
            <w:vAlign w:val="center"/>
          </w:tcPr>
          <w:p w14:paraId="3C7B0C89">
            <w:pPr>
              <w:widowControl/>
              <w:wordWrap/>
              <w:autoSpaceDE/>
              <w:autoSpaceDN/>
              <w:jc w:val="center"/>
              <w:rPr>
                <w:rFonts w:ascii="Times New Roman" w:hAnsi="Times New Roman" w:cs="Times New Roman"/>
                <w:sz w:val="21"/>
                <w:szCs w:val="21"/>
                <w:lang w:eastAsia="zh-CN"/>
              </w:rPr>
            </w:pPr>
            <w:r>
              <w:rPr>
                <w:rFonts w:hint="eastAsia" w:ascii="宋体" w:hAnsi="宋体" w:cs="Times New Roman"/>
                <w:kern w:val="0"/>
                <w:sz w:val="24"/>
                <w:szCs w:val="24"/>
                <w:lang w:eastAsia="zh-CN"/>
              </w:rPr>
              <w:t>1</w:t>
            </w:r>
          </w:p>
        </w:tc>
        <w:tc>
          <w:tcPr>
            <w:tcW w:w="1758" w:type="pct"/>
            <w:tcMar>
              <w:top w:w="96" w:type="dxa"/>
              <w:left w:w="96" w:type="dxa"/>
              <w:bottom w:w="96" w:type="dxa"/>
              <w:right w:w="96" w:type="dxa"/>
            </w:tcMar>
            <w:vAlign w:val="center"/>
          </w:tcPr>
          <w:p w14:paraId="657F2C61">
            <w:pPr>
              <w:widowControl/>
              <w:wordWrap/>
              <w:autoSpaceDE/>
              <w:autoSpaceDN/>
              <w:jc w:val="center"/>
              <w:rPr>
                <w:rFonts w:ascii="Times New Roman" w:hAnsi="Times New Roman" w:cs="Times New Roman"/>
                <w:sz w:val="21"/>
                <w:szCs w:val="21"/>
                <w:lang w:eastAsia="zh-CN"/>
              </w:rPr>
            </w:pPr>
            <w:r>
              <w:rPr>
                <w:rFonts w:hint="eastAsia" w:ascii="宋体" w:hAnsi="宋体" w:cs="Times New Roman"/>
                <w:kern w:val="0"/>
                <w:sz w:val="24"/>
                <w:szCs w:val="24"/>
                <w:lang w:eastAsia="zh-CN"/>
              </w:rPr>
              <w:t>激光安全性：1 级（符合 IEC 60825-1:2014）</w:t>
            </w:r>
          </w:p>
        </w:tc>
        <w:tc>
          <w:tcPr>
            <w:tcW w:w="2195" w:type="pct"/>
            <w:tcMar>
              <w:top w:w="96" w:type="dxa"/>
              <w:left w:w="96" w:type="dxa"/>
              <w:bottom w:w="96" w:type="dxa"/>
              <w:right w:w="96" w:type="dxa"/>
            </w:tcMar>
            <w:vAlign w:val="center"/>
          </w:tcPr>
          <w:p w14:paraId="21D86471">
            <w:pPr>
              <w:widowControl/>
              <w:wordWrap/>
              <w:autoSpaceDE/>
              <w:autoSpaceDN/>
              <w:jc w:val="center"/>
              <w:rPr>
                <w:rFonts w:ascii="Times New Roman" w:hAnsi="Times New Roman" w:cs="Times New Roman"/>
                <w:sz w:val="21"/>
                <w:szCs w:val="21"/>
                <w:lang w:eastAsia="zh-CN"/>
              </w:rPr>
            </w:pPr>
            <w:r>
              <w:rPr>
                <w:rFonts w:hint="eastAsia" w:ascii="宋体" w:hAnsi="宋体" w:cs="Times New Roman"/>
                <w:kern w:val="0"/>
                <w:sz w:val="24"/>
                <w:szCs w:val="24"/>
                <w:lang w:eastAsia="zh-CN"/>
              </w:rPr>
              <w:t>核查设备出厂检测报告、激光安全认证文件，确认设备激光等级为 Class 1，符合 IEC 60825-1:2014 标准，现场无安全隐患。</w:t>
            </w:r>
          </w:p>
        </w:tc>
        <w:tc>
          <w:tcPr>
            <w:tcW w:w="806" w:type="pct"/>
            <w:tcMar>
              <w:top w:w="96" w:type="dxa"/>
              <w:left w:w="96" w:type="dxa"/>
              <w:bottom w:w="96" w:type="dxa"/>
              <w:right w:w="96" w:type="dxa"/>
            </w:tcMar>
            <w:vAlign w:val="center"/>
          </w:tcPr>
          <w:p w14:paraId="5E06D626">
            <w:pPr>
              <w:widowControl/>
              <w:wordWrap/>
              <w:autoSpaceDE/>
              <w:autoSpaceDN/>
              <w:jc w:val="center"/>
              <w:rPr>
                <w:rFonts w:ascii="Times New Roman" w:hAnsi="Times New Roman" w:cs="Times New Roman"/>
                <w:sz w:val="21"/>
                <w:szCs w:val="21"/>
                <w:lang w:eastAsia="zh-CN"/>
              </w:rPr>
            </w:pPr>
            <w:r>
              <w:rPr>
                <w:rFonts w:hint="eastAsia" w:ascii="宋体" w:hAnsi="宋体" w:cs="Times New Roman"/>
                <w:kern w:val="0"/>
                <w:sz w:val="24"/>
                <w:szCs w:val="24"/>
                <w:lang w:eastAsia="zh-CN"/>
              </w:rPr>
              <w:t>否</w:t>
            </w:r>
          </w:p>
        </w:tc>
      </w:tr>
      <w:tr w14:paraId="33F0A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239" w:type="pct"/>
            <w:tcMar>
              <w:top w:w="96" w:type="dxa"/>
              <w:left w:w="96" w:type="dxa"/>
              <w:bottom w:w="96" w:type="dxa"/>
              <w:right w:w="96" w:type="dxa"/>
            </w:tcMar>
            <w:vAlign w:val="center"/>
          </w:tcPr>
          <w:p w14:paraId="0EB952B5">
            <w:pPr>
              <w:widowControl/>
              <w:wordWrap/>
              <w:autoSpaceDE/>
              <w:autoSpaceDN/>
              <w:jc w:val="center"/>
              <w:rPr>
                <w:rFonts w:ascii="Times New Roman" w:hAnsi="Times New Roman" w:cs="Times New Roman"/>
                <w:sz w:val="21"/>
                <w:szCs w:val="21"/>
                <w:lang w:eastAsia="zh-CN"/>
              </w:rPr>
            </w:pPr>
            <w:r>
              <w:rPr>
                <w:rFonts w:hint="eastAsia" w:ascii="宋体" w:hAnsi="宋体" w:cs="Times New Roman"/>
                <w:kern w:val="0"/>
                <w:sz w:val="24"/>
                <w:szCs w:val="24"/>
                <w:lang w:eastAsia="zh-CN"/>
              </w:rPr>
              <w:t>2</w:t>
            </w:r>
          </w:p>
        </w:tc>
        <w:tc>
          <w:tcPr>
            <w:tcW w:w="1758" w:type="pct"/>
            <w:tcMar>
              <w:top w:w="96" w:type="dxa"/>
              <w:left w:w="96" w:type="dxa"/>
              <w:bottom w:w="96" w:type="dxa"/>
              <w:right w:w="96" w:type="dxa"/>
            </w:tcMar>
            <w:vAlign w:val="center"/>
          </w:tcPr>
          <w:p w14:paraId="5838A9D0">
            <w:pPr>
              <w:widowControl/>
              <w:wordWrap/>
              <w:autoSpaceDE/>
              <w:autoSpaceDN/>
              <w:jc w:val="center"/>
              <w:rPr>
                <w:rFonts w:ascii="Times New Roman" w:hAnsi="Times New Roman" w:cs="Times New Roman"/>
                <w:sz w:val="21"/>
                <w:szCs w:val="21"/>
                <w:lang w:eastAsia="zh-CN"/>
              </w:rPr>
            </w:pPr>
            <w:r>
              <w:rPr>
                <w:rFonts w:hint="eastAsia" w:ascii="宋体" w:hAnsi="宋体" w:cs="Times New Roman"/>
                <w:kern w:val="0"/>
                <w:sz w:val="24"/>
                <w:szCs w:val="24"/>
                <w:lang w:eastAsia="zh-CN"/>
              </w:rPr>
              <w:t>最大扫描距离≥140m，最小扫描距离≤0.5m</w:t>
            </w:r>
          </w:p>
        </w:tc>
        <w:tc>
          <w:tcPr>
            <w:tcW w:w="2195" w:type="pct"/>
            <w:tcMar>
              <w:top w:w="96" w:type="dxa"/>
              <w:left w:w="96" w:type="dxa"/>
              <w:bottom w:w="96" w:type="dxa"/>
              <w:right w:w="96" w:type="dxa"/>
            </w:tcMar>
            <w:vAlign w:val="center"/>
          </w:tcPr>
          <w:p w14:paraId="7EDDFDE5">
            <w:pPr>
              <w:widowControl/>
              <w:wordWrap/>
              <w:autoSpaceDE/>
              <w:autoSpaceDN/>
              <w:jc w:val="center"/>
              <w:rPr>
                <w:rFonts w:ascii="Times New Roman" w:hAnsi="Times New Roman" w:cs="Times New Roman"/>
                <w:sz w:val="21"/>
                <w:szCs w:val="21"/>
                <w:lang w:eastAsia="zh-CN"/>
              </w:rPr>
            </w:pPr>
            <w:r>
              <w:rPr>
                <w:rFonts w:hint="eastAsia" w:ascii="宋体" w:hAnsi="宋体" w:cs="Times New Roman"/>
                <w:kern w:val="0"/>
                <w:sz w:val="24"/>
                <w:szCs w:val="24"/>
                <w:lang w:eastAsia="zh-CN"/>
              </w:rPr>
              <w:t>现场设置不同距离的标靶，实测设备最大有效扫描距离、最小有效扫描距离，结果需满足技术要求；核查设备原厂技术规格书。</w:t>
            </w:r>
          </w:p>
        </w:tc>
        <w:tc>
          <w:tcPr>
            <w:tcW w:w="806" w:type="pct"/>
            <w:tcMar>
              <w:top w:w="96" w:type="dxa"/>
              <w:left w:w="96" w:type="dxa"/>
              <w:bottom w:w="96" w:type="dxa"/>
              <w:right w:w="96" w:type="dxa"/>
            </w:tcMar>
            <w:vAlign w:val="center"/>
          </w:tcPr>
          <w:p w14:paraId="5EA521FC">
            <w:pPr>
              <w:widowControl/>
              <w:wordWrap/>
              <w:autoSpaceDE/>
              <w:autoSpaceDN/>
              <w:jc w:val="center"/>
              <w:rPr>
                <w:rFonts w:ascii="Times New Roman" w:hAnsi="Times New Roman" w:cs="Times New Roman"/>
                <w:sz w:val="21"/>
                <w:szCs w:val="21"/>
                <w:lang w:eastAsia="zh-CN"/>
              </w:rPr>
            </w:pPr>
            <w:r>
              <w:rPr>
                <w:rFonts w:hint="eastAsia" w:ascii="宋体" w:hAnsi="宋体" w:cs="Times New Roman"/>
                <w:kern w:val="0"/>
                <w:sz w:val="24"/>
                <w:szCs w:val="24"/>
                <w:lang w:eastAsia="zh-CN"/>
              </w:rPr>
              <w:t>否</w:t>
            </w:r>
          </w:p>
        </w:tc>
      </w:tr>
      <w:tr w14:paraId="4C231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239" w:type="pct"/>
            <w:tcMar>
              <w:top w:w="96" w:type="dxa"/>
              <w:left w:w="96" w:type="dxa"/>
              <w:bottom w:w="96" w:type="dxa"/>
              <w:right w:w="96" w:type="dxa"/>
            </w:tcMar>
            <w:vAlign w:val="center"/>
          </w:tcPr>
          <w:p w14:paraId="73334B11">
            <w:pPr>
              <w:widowControl/>
              <w:wordWrap/>
              <w:autoSpaceDE/>
              <w:autoSpaceDN/>
              <w:jc w:val="center"/>
              <w:rPr>
                <w:rFonts w:ascii="Times New Roman" w:hAnsi="Times New Roman" w:cs="Times New Roman"/>
                <w:sz w:val="21"/>
                <w:szCs w:val="21"/>
                <w:lang w:eastAsia="zh-CN"/>
              </w:rPr>
            </w:pPr>
            <w:r>
              <w:rPr>
                <w:rFonts w:hint="eastAsia" w:ascii="宋体" w:hAnsi="宋体" w:cs="Times New Roman"/>
                <w:kern w:val="0"/>
                <w:sz w:val="24"/>
                <w:szCs w:val="24"/>
                <w:lang w:eastAsia="zh-CN"/>
              </w:rPr>
              <w:t>3</w:t>
            </w:r>
          </w:p>
        </w:tc>
        <w:tc>
          <w:tcPr>
            <w:tcW w:w="1758" w:type="pct"/>
            <w:tcMar>
              <w:top w:w="96" w:type="dxa"/>
              <w:left w:w="96" w:type="dxa"/>
              <w:bottom w:w="96" w:type="dxa"/>
              <w:right w:w="96" w:type="dxa"/>
            </w:tcMar>
            <w:vAlign w:val="center"/>
          </w:tcPr>
          <w:p w14:paraId="7EC2507B">
            <w:pPr>
              <w:widowControl/>
              <w:wordWrap/>
              <w:autoSpaceDE/>
              <w:autoSpaceDN/>
              <w:jc w:val="center"/>
              <w:rPr>
                <w:rFonts w:ascii="Times New Roman" w:hAnsi="Times New Roman" w:cs="Times New Roman"/>
                <w:sz w:val="21"/>
                <w:szCs w:val="21"/>
                <w:lang w:eastAsia="zh-CN"/>
              </w:rPr>
            </w:pPr>
            <w:r>
              <w:rPr>
                <w:rFonts w:hint="eastAsia" w:ascii="宋体" w:hAnsi="宋体" w:cs="Times New Roman"/>
                <w:kern w:val="0"/>
                <w:sz w:val="24"/>
                <w:szCs w:val="24"/>
                <w:lang w:eastAsia="zh-CN"/>
              </w:rPr>
              <w:t>扫描视角：水平 360°，垂直≥300°</w:t>
            </w:r>
          </w:p>
        </w:tc>
        <w:tc>
          <w:tcPr>
            <w:tcW w:w="2195" w:type="pct"/>
            <w:tcMar>
              <w:top w:w="96" w:type="dxa"/>
              <w:left w:w="96" w:type="dxa"/>
              <w:bottom w:w="96" w:type="dxa"/>
              <w:right w:w="96" w:type="dxa"/>
            </w:tcMar>
            <w:vAlign w:val="center"/>
          </w:tcPr>
          <w:p w14:paraId="2CD4E18D">
            <w:pPr>
              <w:widowControl/>
              <w:wordWrap/>
              <w:autoSpaceDE/>
              <w:autoSpaceDN/>
              <w:jc w:val="center"/>
              <w:rPr>
                <w:rFonts w:ascii="Times New Roman" w:hAnsi="Times New Roman" w:cs="Times New Roman"/>
                <w:sz w:val="21"/>
                <w:szCs w:val="21"/>
                <w:lang w:eastAsia="zh-CN"/>
              </w:rPr>
            </w:pPr>
            <w:r>
              <w:rPr>
                <w:rFonts w:hint="eastAsia" w:ascii="宋体" w:hAnsi="宋体" w:cs="Times New Roman"/>
                <w:kern w:val="0"/>
                <w:sz w:val="24"/>
                <w:szCs w:val="24"/>
                <w:lang w:eastAsia="zh-CN"/>
              </w:rPr>
              <w:t>现场实测设备水平、垂直扫描覆盖范围，确认水平可实现 360° 无死角扫描，垂直扫描角度不低于 300°；核查设备技术手册。</w:t>
            </w:r>
          </w:p>
        </w:tc>
        <w:tc>
          <w:tcPr>
            <w:tcW w:w="806" w:type="pct"/>
            <w:tcMar>
              <w:top w:w="96" w:type="dxa"/>
              <w:left w:w="96" w:type="dxa"/>
              <w:bottom w:w="96" w:type="dxa"/>
              <w:right w:w="96" w:type="dxa"/>
            </w:tcMar>
            <w:vAlign w:val="center"/>
          </w:tcPr>
          <w:p w14:paraId="0CC6EE29">
            <w:pPr>
              <w:widowControl/>
              <w:wordWrap/>
              <w:autoSpaceDE/>
              <w:autoSpaceDN/>
              <w:jc w:val="center"/>
              <w:rPr>
                <w:rFonts w:ascii="Times New Roman" w:hAnsi="Times New Roman" w:cs="Times New Roman"/>
                <w:sz w:val="21"/>
                <w:szCs w:val="21"/>
                <w:lang w:eastAsia="zh-CN"/>
              </w:rPr>
            </w:pPr>
            <w:r>
              <w:rPr>
                <w:rFonts w:hint="eastAsia" w:ascii="宋体" w:hAnsi="宋体" w:cs="Times New Roman"/>
                <w:kern w:val="0"/>
                <w:sz w:val="24"/>
                <w:szCs w:val="24"/>
                <w:lang w:eastAsia="zh-CN"/>
              </w:rPr>
              <w:t>否</w:t>
            </w:r>
          </w:p>
        </w:tc>
      </w:tr>
      <w:tr w14:paraId="46345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239" w:type="pct"/>
            <w:tcMar>
              <w:top w:w="96" w:type="dxa"/>
              <w:left w:w="96" w:type="dxa"/>
              <w:bottom w:w="96" w:type="dxa"/>
              <w:right w:w="96" w:type="dxa"/>
            </w:tcMar>
            <w:vAlign w:val="center"/>
          </w:tcPr>
          <w:p w14:paraId="14697F07">
            <w:pPr>
              <w:widowControl/>
              <w:wordWrap/>
              <w:autoSpaceDE/>
              <w:autoSpaceDN/>
              <w:jc w:val="center"/>
              <w:rPr>
                <w:rFonts w:ascii="Times New Roman" w:hAnsi="Times New Roman" w:cs="Times New Roman"/>
                <w:sz w:val="21"/>
                <w:szCs w:val="21"/>
                <w:lang w:eastAsia="zh-CN"/>
              </w:rPr>
            </w:pPr>
            <w:r>
              <w:rPr>
                <w:rFonts w:hint="eastAsia" w:ascii="宋体" w:hAnsi="宋体" w:cs="Times New Roman"/>
                <w:kern w:val="0"/>
                <w:sz w:val="24"/>
                <w:szCs w:val="24"/>
                <w:lang w:eastAsia="zh-CN"/>
              </w:rPr>
              <w:t>4</w:t>
            </w:r>
          </w:p>
        </w:tc>
        <w:tc>
          <w:tcPr>
            <w:tcW w:w="1758" w:type="pct"/>
            <w:tcMar>
              <w:top w:w="96" w:type="dxa"/>
              <w:left w:w="96" w:type="dxa"/>
              <w:bottom w:w="96" w:type="dxa"/>
              <w:right w:w="96" w:type="dxa"/>
            </w:tcMar>
            <w:vAlign w:val="center"/>
          </w:tcPr>
          <w:p w14:paraId="5934865B">
            <w:pPr>
              <w:widowControl/>
              <w:wordWrap/>
              <w:autoSpaceDE/>
              <w:autoSpaceDN/>
              <w:jc w:val="center"/>
              <w:rPr>
                <w:rFonts w:ascii="Times New Roman" w:hAnsi="Times New Roman" w:cs="Times New Roman"/>
                <w:sz w:val="21"/>
                <w:szCs w:val="21"/>
                <w:lang w:eastAsia="zh-CN"/>
              </w:rPr>
            </w:pPr>
            <w:r>
              <w:rPr>
                <w:rFonts w:hint="eastAsia" w:ascii="宋体" w:hAnsi="宋体" w:cs="Times New Roman"/>
                <w:kern w:val="0"/>
                <w:sz w:val="24"/>
                <w:szCs w:val="24"/>
                <w:lang w:eastAsia="zh-CN"/>
              </w:rPr>
              <w:t>扫描速度：最大扫描速率≥180 万点 / 秒，单站扫描和拍照用时最少 90 秒</w:t>
            </w:r>
          </w:p>
        </w:tc>
        <w:tc>
          <w:tcPr>
            <w:tcW w:w="2195" w:type="pct"/>
            <w:tcMar>
              <w:top w:w="96" w:type="dxa"/>
              <w:left w:w="96" w:type="dxa"/>
              <w:bottom w:w="96" w:type="dxa"/>
              <w:right w:w="96" w:type="dxa"/>
            </w:tcMar>
            <w:vAlign w:val="center"/>
          </w:tcPr>
          <w:p w14:paraId="21816CD3">
            <w:pPr>
              <w:widowControl/>
              <w:wordWrap/>
              <w:autoSpaceDE/>
              <w:autoSpaceDN/>
              <w:jc w:val="center"/>
              <w:rPr>
                <w:rFonts w:ascii="Times New Roman" w:hAnsi="Times New Roman" w:cs="Times New Roman"/>
                <w:sz w:val="21"/>
                <w:szCs w:val="21"/>
                <w:lang w:eastAsia="zh-CN"/>
              </w:rPr>
            </w:pPr>
            <w:r>
              <w:rPr>
                <w:rFonts w:hint="eastAsia" w:ascii="宋体" w:hAnsi="宋体" w:cs="Times New Roman"/>
                <w:kern w:val="0"/>
                <w:sz w:val="24"/>
                <w:szCs w:val="24"/>
                <w:lang w:eastAsia="zh-CN"/>
              </w:rPr>
              <w:t>通过设备控制软件查看并记录设备最大点云采集速率，确认不低于 180 万点 / 秒；现场完成一次标准单站扫描 + 全景拍照流程，记录完成时间，确认用时不超过 90 秒。</w:t>
            </w:r>
          </w:p>
        </w:tc>
        <w:tc>
          <w:tcPr>
            <w:tcW w:w="806" w:type="pct"/>
            <w:tcMar>
              <w:top w:w="96" w:type="dxa"/>
              <w:left w:w="96" w:type="dxa"/>
              <w:bottom w:w="96" w:type="dxa"/>
              <w:right w:w="96" w:type="dxa"/>
            </w:tcMar>
            <w:vAlign w:val="center"/>
          </w:tcPr>
          <w:p w14:paraId="44735C4D">
            <w:pPr>
              <w:widowControl/>
              <w:wordWrap/>
              <w:autoSpaceDE/>
              <w:autoSpaceDN/>
              <w:jc w:val="center"/>
              <w:rPr>
                <w:rFonts w:ascii="Times New Roman" w:hAnsi="Times New Roman" w:cs="Times New Roman"/>
                <w:sz w:val="21"/>
                <w:szCs w:val="21"/>
                <w:lang w:eastAsia="zh-CN"/>
              </w:rPr>
            </w:pPr>
            <w:r>
              <w:rPr>
                <w:rFonts w:hint="eastAsia" w:ascii="宋体" w:hAnsi="宋体" w:cs="Times New Roman"/>
                <w:kern w:val="0"/>
                <w:sz w:val="24"/>
                <w:szCs w:val="24"/>
                <w:lang w:eastAsia="zh-CN"/>
              </w:rPr>
              <w:t>否</w:t>
            </w:r>
          </w:p>
        </w:tc>
      </w:tr>
      <w:tr w14:paraId="7A140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239" w:type="pct"/>
            <w:tcMar>
              <w:top w:w="96" w:type="dxa"/>
              <w:left w:w="96" w:type="dxa"/>
              <w:bottom w:w="96" w:type="dxa"/>
              <w:right w:w="96" w:type="dxa"/>
            </w:tcMar>
            <w:vAlign w:val="center"/>
          </w:tcPr>
          <w:p w14:paraId="50B0CD29">
            <w:pPr>
              <w:widowControl/>
              <w:wordWrap/>
              <w:autoSpaceDE/>
              <w:autoSpaceDN/>
              <w:jc w:val="center"/>
              <w:rPr>
                <w:rFonts w:ascii="Times New Roman" w:hAnsi="Times New Roman" w:cs="Times New Roman"/>
                <w:sz w:val="21"/>
                <w:szCs w:val="21"/>
                <w:lang w:eastAsia="zh-CN"/>
              </w:rPr>
            </w:pPr>
            <w:r>
              <w:rPr>
                <w:rFonts w:hint="eastAsia" w:ascii="宋体" w:hAnsi="宋体" w:cs="Times New Roman"/>
                <w:kern w:val="0"/>
                <w:sz w:val="24"/>
                <w:szCs w:val="24"/>
                <w:lang w:eastAsia="zh-CN"/>
              </w:rPr>
              <w:t>5</w:t>
            </w:r>
          </w:p>
        </w:tc>
        <w:tc>
          <w:tcPr>
            <w:tcW w:w="1758" w:type="pct"/>
            <w:tcMar>
              <w:top w:w="96" w:type="dxa"/>
              <w:left w:w="96" w:type="dxa"/>
              <w:bottom w:w="96" w:type="dxa"/>
              <w:right w:w="96" w:type="dxa"/>
            </w:tcMar>
            <w:vAlign w:val="center"/>
          </w:tcPr>
          <w:p w14:paraId="0D3FD391">
            <w:pPr>
              <w:widowControl/>
              <w:wordWrap/>
              <w:autoSpaceDE/>
              <w:autoSpaceDN/>
              <w:jc w:val="center"/>
              <w:rPr>
                <w:rFonts w:ascii="Times New Roman" w:hAnsi="Times New Roman" w:cs="Times New Roman"/>
                <w:sz w:val="21"/>
                <w:szCs w:val="21"/>
                <w:lang w:eastAsia="zh-CN"/>
              </w:rPr>
            </w:pPr>
            <w:r>
              <w:rPr>
                <w:rFonts w:hint="eastAsia" w:ascii="宋体" w:hAnsi="宋体" w:cs="Times New Roman"/>
                <w:kern w:val="0"/>
                <w:sz w:val="24"/>
                <w:szCs w:val="24"/>
                <w:lang w:eastAsia="zh-CN"/>
              </w:rPr>
              <w:t>测距精度≤1mm±10ppm；测角精度≤15″；点位精度≤1.5mm@10m；噪音精度≤0.4mm@10m</w:t>
            </w:r>
          </w:p>
        </w:tc>
        <w:tc>
          <w:tcPr>
            <w:tcW w:w="2195" w:type="pct"/>
            <w:tcMar>
              <w:top w:w="96" w:type="dxa"/>
              <w:left w:w="96" w:type="dxa"/>
              <w:bottom w:w="96" w:type="dxa"/>
              <w:right w:w="96" w:type="dxa"/>
            </w:tcMar>
            <w:vAlign w:val="center"/>
          </w:tcPr>
          <w:p w14:paraId="3D573849">
            <w:pPr>
              <w:widowControl/>
              <w:wordWrap/>
              <w:autoSpaceDE/>
              <w:autoSpaceDN/>
              <w:jc w:val="center"/>
              <w:rPr>
                <w:rFonts w:ascii="Times New Roman" w:hAnsi="Times New Roman" w:cs="Times New Roman"/>
                <w:sz w:val="21"/>
                <w:szCs w:val="21"/>
                <w:lang w:eastAsia="zh-CN"/>
              </w:rPr>
            </w:pPr>
            <w:r>
              <w:rPr>
                <w:rFonts w:hint="eastAsia" w:ascii="宋体" w:hAnsi="宋体" w:cs="Times New Roman"/>
                <w:kern w:val="0"/>
                <w:sz w:val="24"/>
                <w:szCs w:val="24"/>
                <w:lang w:eastAsia="zh-CN"/>
              </w:rPr>
              <w:t>使用标准标距、高精度测角设备，在标准距离（10m 及不同距离）下，对设备的测距、测角、点位、噪音精度进行实测验证，各项指标需满足要求；提供第三方权威检测报告或原厂精度校准报告。</w:t>
            </w:r>
          </w:p>
        </w:tc>
        <w:tc>
          <w:tcPr>
            <w:tcW w:w="806" w:type="pct"/>
            <w:tcMar>
              <w:top w:w="96" w:type="dxa"/>
              <w:left w:w="96" w:type="dxa"/>
              <w:bottom w:w="96" w:type="dxa"/>
              <w:right w:w="96" w:type="dxa"/>
            </w:tcMar>
            <w:vAlign w:val="center"/>
          </w:tcPr>
          <w:p w14:paraId="3C48146A">
            <w:pPr>
              <w:widowControl/>
              <w:wordWrap/>
              <w:autoSpaceDE/>
              <w:autoSpaceDN/>
              <w:jc w:val="center"/>
              <w:rPr>
                <w:rFonts w:ascii="Times New Roman" w:hAnsi="Times New Roman" w:cs="Times New Roman"/>
                <w:sz w:val="21"/>
                <w:szCs w:val="21"/>
                <w:lang w:eastAsia="zh-CN"/>
              </w:rPr>
            </w:pPr>
            <w:r>
              <w:rPr>
                <w:rFonts w:hint="eastAsia" w:ascii="宋体" w:hAnsi="宋体" w:cs="Times New Roman"/>
                <w:kern w:val="0"/>
                <w:sz w:val="24"/>
                <w:szCs w:val="24"/>
                <w:lang w:eastAsia="zh-CN"/>
              </w:rPr>
              <w:t>是</w:t>
            </w:r>
          </w:p>
        </w:tc>
      </w:tr>
      <w:tr w14:paraId="40C84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239" w:type="pct"/>
            <w:tcMar>
              <w:top w:w="96" w:type="dxa"/>
              <w:left w:w="96" w:type="dxa"/>
              <w:bottom w:w="96" w:type="dxa"/>
              <w:right w:w="96" w:type="dxa"/>
            </w:tcMar>
            <w:vAlign w:val="center"/>
          </w:tcPr>
          <w:p w14:paraId="70D5F61B">
            <w:pPr>
              <w:widowControl/>
              <w:wordWrap/>
              <w:autoSpaceDE/>
              <w:autoSpaceDN/>
              <w:jc w:val="center"/>
              <w:rPr>
                <w:rFonts w:ascii="Times New Roman" w:hAnsi="Times New Roman" w:cs="Times New Roman"/>
                <w:sz w:val="21"/>
                <w:szCs w:val="21"/>
                <w:lang w:eastAsia="zh-CN"/>
              </w:rPr>
            </w:pPr>
            <w:r>
              <w:rPr>
                <w:rFonts w:hint="eastAsia" w:ascii="宋体" w:hAnsi="宋体" w:cs="Times New Roman"/>
                <w:kern w:val="0"/>
                <w:sz w:val="24"/>
                <w:szCs w:val="24"/>
                <w:lang w:eastAsia="zh-CN"/>
              </w:rPr>
              <w:t>6</w:t>
            </w:r>
          </w:p>
        </w:tc>
        <w:tc>
          <w:tcPr>
            <w:tcW w:w="1758" w:type="pct"/>
            <w:tcMar>
              <w:top w:w="96" w:type="dxa"/>
              <w:left w:w="96" w:type="dxa"/>
              <w:bottom w:w="96" w:type="dxa"/>
              <w:right w:w="96" w:type="dxa"/>
            </w:tcMar>
            <w:vAlign w:val="center"/>
          </w:tcPr>
          <w:p w14:paraId="59F6C212">
            <w:pPr>
              <w:widowControl/>
              <w:wordWrap/>
              <w:autoSpaceDE/>
              <w:autoSpaceDN/>
              <w:jc w:val="center"/>
              <w:rPr>
                <w:rFonts w:ascii="Times New Roman" w:hAnsi="Times New Roman" w:cs="Times New Roman"/>
                <w:sz w:val="21"/>
                <w:szCs w:val="21"/>
                <w:lang w:eastAsia="zh-CN"/>
              </w:rPr>
            </w:pPr>
            <w:r>
              <w:rPr>
                <w:rFonts w:hint="eastAsia" w:ascii="宋体" w:hAnsi="宋体" w:cs="Times New Roman"/>
                <w:kern w:val="0"/>
                <w:sz w:val="24"/>
                <w:szCs w:val="24"/>
                <w:lang w:eastAsia="zh-CN"/>
              </w:rPr>
              <w:t>内置 5 级 HDR 相机，全景照片像素不小于 4 亿像素</w:t>
            </w:r>
          </w:p>
        </w:tc>
        <w:tc>
          <w:tcPr>
            <w:tcW w:w="2195" w:type="pct"/>
            <w:tcMar>
              <w:top w:w="96" w:type="dxa"/>
              <w:left w:w="96" w:type="dxa"/>
              <w:bottom w:w="96" w:type="dxa"/>
              <w:right w:w="96" w:type="dxa"/>
            </w:tcMar>
            <w:vAlign w:val="center"/>
          </w:tcPr>
          <w:p w14:paraId="5CF6ECE6">
            <w:pPr>
              <w:widowControl/>
              <w:wordWrap/>
              <w:autoSpaceDE/>
              <w:autoSpaceDN/>
              <w:jc w:val="center"/>
              <w:rPr>
                <w:rFonts w:ascii="Times New Roman" w:hAnsi="Times New Roman" w:cs="Times New Roman"/>
                <w:sz w:val="21"/>
                <w:szCs w:val="21"/>
                <w:lang w:eastAsia="zh-CN"/>
              </w:rPr>
            </w:pPr>
            <w:r>
              <w:rPr>
                <w:rFonts w:hint="eastAsia" w:ascii="宋体" w:hAnsi="宋体" w:cs="Times New Roman"/>
                <w:kern w:val="0"/>
                <w:sz w:val="24"/>
                <w:szCs w:val="24"/>
                <w:lang w:eastAsia="zh-CN"/>
              </w:rPr>
              <w:t>现场拍摄全景照片，通过设备软件查看照片分辨率、像素参数，确认相机支持 5 级 HDR，全景照片总像素不低于 4 亿；核查相机规格说明文件。</w:t>
            </w:r>
          </w:p>
        </w:tc>
        <w:tc>
          <w:tcPr>
            <w:tcW w:w="806" w:type="pct"/>
            <w:tcMar>
              <w:top w:w="96" w:type="dxa"/>
              <w:left w:w="96" w:type="dxa"/>
              <w:bottom w:w="96" w:type="dxa"/>
              <w:right w:w="96" w:type="dxa"/>
            </w:tcMar>
            <w:vAlign w:val="center"/>
          </w:tcPr>
          <w:p w14:paraId="01BB2644">
            <w:pPr>
              <w:widowControl/>
              <w:wordWrap/>
              <w:autoSpaceDE/>
              <w:autoSpaceDN/>
              <w:jc w:val="center"/>
              <w:rPr>
                <w:rFonts w:ascii="Times New Roman" w:hAnsi="Times New Roman" w:cs="Times New Roman"/>
                <w:sz w:val="21"/>
                <w:szCs w:val="21"/>
                <w:lang w:eastAsia="zh-CN"/>
              </w:rPr>
            </w:pPr>
            <w:r>
              <w:rPr>
                <w:rFonts w:hint="eastAsia" w:ascii="宋体" w:hAnsi="宋体" w:cs="Times New Roman"/>
                <w:kern w:val="0"/>
                <w:sz w:val="24"/>
                <w:szCs w:val="24"/>
                <w:lang w:eastAsia="zh-CN"/>
              </w:rPr>
              <w:t>是</w:t>
            </w:r>
          </w:p>
        </w:tc>
      </w:tr>
      <w:tr w14:paraId="13149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239" w:type="pct"/>
            <w:tcMar>
              <w:top w:w="96" w:type="dxa"/>
              <w:left w:w="96" w:type="dxa"/>
              <w:bottom w:w="96" w:type="dxa"/>
              <w:right w:w="96" w:type="dxa"/>
            </w:tcMar>
            <w:vAlign w:val="center"/>
          </w:tcPr>
          <w:p w14:paraId="238F08C4">
            <w:pPr>
              <w:widowControl/>
              <w:wordWrap/>
              <w:autoSpaceDE/>
              <w:autoSpaceDN/>
              <w:jc w:val="center"/>
              <w:rPr>
                <w:rFonts w:ascii="Times New Roman" w:hAnsi="Times New Roman" w:cs="Times New Roman"/>
                <w:sz w:val="21"/>
                <w:szCs w:val="21"/>
                <w:lang w:eastAsia="zh-CN"/>
              </w:rPr>
            </w:pPr>
            <w:r>
              <w:rPr>
                <w:rFonts w:hint="eastAsia" w:ascii="宋体" w:hAnsi="宋体" w:cs="Times New Roman"/>
                <w:kern w:val="0"/>
                <w:sz w:val="24"/>
                <w:szCs w:val="24"/>
                <w:lang w:eastAsia="zh-CN"/>
              </w:rPr>
              <w:t>7</w:t>
            </w:r>
          </w:p>
        </w:tc>
        <w:tc>
          <w:tcPr>
            <w:tcW w:w="1758" w:type="pct"/>
            <w:tcMar>
              <w:top w:w="96" w:type="dxa"/>
              <w:left w:w="96" w:type="dxa"/>
              <w:bottom w:w="96" w:type="dxa"/>
              <w:right w:w="96" w:type="dxa"/>
            </w:tcMar>
            <w:vAlign w:val="center"/>
          </w:tcPr>
          <w:p w14:paraId="061805B7">
            <w:pPr>
              <w:widowControl/>
              <w:wordWrap/>
              <w:autoSpaceDE/>
              <w:autoSpaceDN/>
              <w:jc w:val="center"/>
              <w:rPr>
                <w:rFonts w:ascii="Times New Roman" w:hAnsi="Times New Roman" w:cs="Times New Roman"/>
                <w:sz w:val="21"/>
                <w:szCs w:val="21"/>
                <w:lang w:eastAsia="zh-CN"/>
              </w:rPr>
            </w:pPr>
            <w:r>
              <w:rPr>
                <w:rFonts w:hint="eastAsia" w:ascii="宋体" w:hAnsi="宋体" w:cs="Times New Roman"/>
                <w:kern w:val="0"/>
                <w:sz w:val="24"/>
                <w:szCs w:val="24"/>
                <w:lang w:eastAsia="zh-CN"/>
              </w:rPr>
              <w:t>内置视觉追踪相机，可实时跟踪计算扫描测站相对于前一个测站的相对位置，辅助实现相邻测站间扫描点云自动化拼接</w:t>
            </w:r>
          </w:p>
        </w:tc>
        <w:tc>
          <w:tcPr>
            <w:tcW w:w="2195" w:type="pct"/>
            <w:tcMar>
              <w:top w:w="96" w:type="dxa"/>
              <w:left w:w="96" w:type="dxa"/>
              <w:bottom w:w="96" w:type="dxa"/>
              <w:right w:w="96" w:type="dxa"/>
            </w:tcMar>
            <w:vAlign w:val="center"/>
          </w:tcPr>
          <w:p w14:paraId="55D9B8A8">
            <w:pPr>
              <w:widowControl/>
              <w:wordWrap/>
              <w:autoSpaceDE/>
              <w:autoSpaceDN/>
              <w:jc w:val="center"/>
              <w:rPr>
                <w:rFonts w:ascii="Times New Roman" w:hAnsi="Times New Roman" w:cs="Times New Roman"/>
                <w:sz w:val="21"/>
                <w:szCs w:val="21"/>
                <w:lang w:eastAsia="zh-CN"/>
              </w:rPr>
            </w:pPr>
            <w:r>
              <w:rPr>
                <w:rFonts w:hint="eastAsia" w:ascii="宋体" w:hAnsi="宋体" w:cs="Times New Roman"/>
                <w:kern w:val="0"/>
                <w:sz w:val="24"/>
                <w:szCs w:val="24"/>
                <w:lang w:eastAsia="zh-CN"/>
              </w:rPr>
              <w:t>在多站点扫描场景下，设置 2 个及以上相邻测站，启用设备内置视觉追踪功能，测试设备是否可自动识别测站相对位置，完成点云自动化拼接，无需人工干预；提供功能说明与测试报告。</w:t>
            </w:r>
          </w:p>
        </w:tc>
        <w:tc>
          <w:tcPr>
            <w:tcW w:w="806" w:type="pct"/>
            <w:tcMar>
              <w:top w:w="96" w:type="dxa"/>
              <w:left w:w="96" w:type="dxa"/>
              <w:bottom w:w="96" w:type="dxa"/>
              <w:right w:w="96" w:type="dxa"/>
            </w:tcMar>
            <w:vAlign w:val="center"/>
          </w:tcPr>
          <w:p w14:paraId="03703832">
            <w:pPr>
              <w:widowControl/>
              <w:wordWrap/>
              <w:autoSpaceDE/>
              <w:autoSpaceDN/>
              <w:jc w:val="center"/>
              <w:rPr>
                <w:rFonts w:ascii="Times New Roman" w:hAnsi="Times New Roman" w:cs="Times New Roman"/>
                <w:sz w:val="21"/>
                <w:szCs w:val="21"/>
                <w:lang w:eastAsia="zh-CN"/>
              </w:rPr>
            </w:pPr>
            <w:r>
              <w:rPr>
                <w:rFonts w:hint="eastAsia" w:ascii="宋体" w:hAnsi="宋体" w:cs="Times New Roman"/>
                <w:kern w:val="0"/>
                <w:sz w:val="24"/>
                <w:szCs w:val="24"/>
                <w:lang w:eastAsia="zh-CN"/>
              </w:rPr>
              <w:t>是</w:t>
            </w:r>
          </w:p>
        </w:tc>
      </w:tr>
      <w:tr w14:paraId="1217C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239" w:type="pct"/>
            <w:tcMar>
              <w:top w:w="96" w:type="dxa"/>
              <w:left w:w="96" w:type="dxa"/>
              <w:bottom w:w="96" w:type="dxa"/>
              <w:right w:w="96" w:type="dxa"/>
            </w:tcMar>
            <w:vAlign w:val="center"/>
          </w:tcPr>
          <w:p w14:paraId="5BF2E7A7">
            <w:pPr>
              <w:widowControl/>
              <w:wordWrap/>
              <w:autoSpaceDE/>
              <w:autoSpaceDN/>
              <w:jc w:val="center"/>
              <w:rPr>
                <w:rFonts w:ascii="Times New Roman" w:hAnsi="Times New Roman" w:cs="Times New Roman"/>
                <w:sz w:val="21"/>
                <w:szCs w:val="21"/>
                <w:lang w:eastAsia="zh-CN"/>
              </w:rPr>
            </w:pPr>
            <w:r>
              <w:rPr>
                <w:rFonts w:hint="eastAsia" w:ascii="宋体" w:hAnsi="宋体" w:cs="Times New Roman"/>
                <w:kern w:val="0"/>
                <w:sz w:val="24"/>
                <w:szCs w:val="24"/>
                <w:lang w:eastAsia="zh-CN"/>
              </w:rPr>
              <w:t>8</w:t>
            </w:r>
          </w:p>
        </w:tc>
        <w:tc>
          <w:tcPr>
            <w:tcW w:w="1758" w:type="pct"/>
            <w:tcMar>
              <w:top w:w="96" w:type="dxa"/>
              <w:left w:w="96" w:type="dxa"/>
              <w:bottom w:w="96" w:type="dxa"/>
              <w:right w:w="96" w:type="dxa"/>
            </w:tcMar>
            <w:vAlign w:val="center"/>
          </w:tcPr>
          <w:p w14:paraId="0EF1F502">
            <w:pPr>
              <w:widowControl/>
              <w:wordWrap/>
              <w:autoSpaceDE/>
              <w:autoSpaceDN/>
              <w:jc w:val="center"/>
              <w:rPr>
                <w:rFonts w:ascii="Times New Roman" w:hAnsi="Times New Roman" w:cs="Times New Roman"/>
                <w:sz w:val="21"/>
                <w:szCs w:val="21"/>
                <w:lang w:eastAsia="zh-CN"/>
              </w:rPr>
            </w:pPr>
            <w:r>
              <w:rPr>
                <w:rFonts w:hint="eastAsia" w:ascii="宋体" w:hAnsi="宋体" w:cs="Times New Roman"/>
                <w:kern w:val="0"/>
                <w:sz w:val="24"/>
                <w:szCs w:val="24"/>
                <w:lang w:eastAsia="zh-CN"/>
              </w:rPr>
              <w:t>内置高精度惯性测量单元（IMU），支持实时姿态与倾斜精度补偿，补偿精度不低于 18″，补偿范围不低于 10°</w:t>
            </w:r>
          </w:p>
        </w:tc>
        <w:tc>
          <w:tcPr>
            <w:tcW w:w="2195" w:type="pct"/>
            <w:tcMar>
              <w:top w:w="96" w:type="dxa"/>
              <w:left w:w="96" w:type="dxa"/>
              <w:bottom w:w="96" w:type="dxa"/>
              <w:right w:w="96" w:type="dxa"/>
            </w:tcMar>
            <w:vAlign w:val="center"/>
          </w:tcPr>
          <w:p w14:paraId="04184022">
            <w:pPr>
              <w:widowControl/>
              <w:wordWrap/>
              <w:autoSpaceDE/>
              <w:autoSpaceDN/>
              <w:jc w:val="center"/>
              <w:rPr>
                <w:rFonts w:ascii="Times New Roman" w:hAnsi="Times New Roman" w:cs="Times New Roman"/>
                <w:sz w:val="21"/>
                <w:szCs w:val="21"/>
                <w:lang w:eastAsia="zh-CN"/>
              </w:rPr>
            </w:pPr>
            <w:r>
              <w:rPr>
                <w:rFonts w:hint="eastAsia" w:ascii="宋体" w:hAnsi="宋体" w:cs="Times New Roman"/>
                <w:kern w:val="0"/>
                <w:sz w:val="24"/>
                <w:szCs w:val="24"/>
                <w:lang w:eastAsia="zh-CN"/>
              </w:rPr>
              <w:t>将设备倾斜至补偿范围内的不同角度，测试设备实时姿态与倾斜补偿功能，核查补偿后数据精度，确认补偿精度不低于 18″，补偿范围不低于 10°；提供设备内部 IMU 传感器的陀螺仪零偏稳定性、加速度计精度等关键硬件参数指标，以及基于该 IMU 的官方精度测试或校准报告。</w:t>
            </w:r>
          </w:p>
        </w:tc>
        <w:tc>
          <w:tcPr>
            <w:tcW w:w="806" w:type="pct"/>
            <w:tcMar>
              <w:top w:w="96" w:type="dxa"/>
              <w:left w:w="96" w:type="dxa"/>
              <w:bottom w:w="96" w:type="dxa"/>
              <w:right w:w="96" w:type="dxa"/>
            </w:tcMar>
            <w:vAlign w:val="center"/>
          </w:tcPr>
          <w:p w14:paraId="6D74D19F">
            <w:pPr>
              <w:widowControl/>
              <w:wordWrap/>
              <w:autoSpaceDE/>
              <w:autoSpaceDN/>
              <w:jc w:val="center"/>
              <w:rPr>
                <w:rFonts w:ascii="Times New Roman" w:hAnsi="Times New Roman" w:cs="Times New Roman"/>
                <w:sz w:val="21"/>
                <w:szCs w:val="21"/>
                <w:lang w:eastAsia="zh-CN"/>
              </w:rPr>
            </w:pPr>
            <w:r>
              <w:rPr>
                <w:rFonts w:hint="eastAsia" w:ascii="宋体" w:hAnsi="宋体" w:cs="Times New Roman"/>
                <w:kern w:val="0"/>
                <w:sz w:val="24"/>
                <w:szCs w:val="24"/>
                <w:lang w:eastAsia="zh-CN"/>
              </w:rPr>
              <w:t>是</w:t>
            </w:r>
          </w:p>
        </w:tc>
      </w:tr>
      <w:tr w14:paraId="2AC9B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239" w:type="pct"/>
            <w:tcMar>
              <w:top w:w="96" w:type="dxa"/>
              <w:left w:w="96" w:type="dxa"/>
              <w:bottom w:w="96" w:type="dxa"/>
              <w:right w:w="96" w:type="dxa"/>
            </w:tcMar>
            <w:vAlign w:val="center"/>
          </w:tcPr>
          <w:p w14:paraId="3E366023">
            <w:pPr>
              <w:widowControl/>
              <w:wordWrap/>
              <w:autoSpaceDE/>
              <w:autoSpaceDN/>
              <w:jc w:val="center"/>
              <w:rPr>
                <w:rFonts w:ascii="Times New Roman" w:hAnsi="Times New Roman" w:cs="Times New Roman"/>
                <w:sz w:val="21"/>
                <w:szCs w:val="21"/>
                <w:lang w:eastAsia="zh-CN"/>
              </w:rPr>
            </w:pPr>
            <w:r>
              <w:rPr>
                <w:rFonts w:hint="eastAsia" w:ascii="宋体" w:hAnsi="宋体" w:cs="Times New Roman"/>
                <w:kern w:val="0"/>
                <w:sz w:val="24"/>
                <w:szCs w:val="24"/>
                <w:lang w:eastAsia="zh-CN"/>
              </w:rPr>
              <w:t>9</w:t>
            </w:r>
          </w:p>
        </w:tc>
        <w:tc>
          <w:tcPr>
            <w:tcW w:w="1758" w:type="pct"/>
            <w:tcMar>
              <w:top w:w="96" w:type="dxa"/>
              <w:left w:w="96" w:type="dxa"/>
              <w:bottom w:w="96" w:type="dxa"/>
              <w:right w:w="96" w:type="dxa"/>
            </w:tcMar>
            <w:vAlign w:val="center"/>
          </w:tcPr>
          <w:p w14:paraId="14158BDB">
            <w:pPr>
              <w:widowControl/>
              <w:wordWrap/>
              <w:autoSpaceDE/>
              <w:autoSpaceDN/>
              <w:jc w:val="center"/>
              <w:rPr>
                <w:rFonts w:ascii="Times New Roman" w:hAnsi="Times New Roman" w:cs="Times New Roman"/>
                <w:sz w:val="21"/>
                <w:szCs w:val="21"/>
                <w:lang w:eastAsia="zh-CN"/>
              </w:rPr>
            </w:pPr>
            <w:r>
              <w:rPr>
                <w:rFonts w:hint="eastAsia" w:ascii="宋体" w:hAnsi="宋体" w:cs="Times New Roman"/>
                <w:kern w:val="0"/>
                <w:sz w:val="24"/>
                <w:szCs w:val="24"/>
                <w:lang w:eastAsia="zh-CN"/>
              </w:rPr>
              <w:t>多系统 GNSS 接收机：支持 GPS、北斗等多系统实时定位，提供绝对坐标初值</w:t>
            </w:r>
          </w:p>
        </w:tc>
        <w:tc>
          <w:tcPr>
            <w:tcW w:w="2195" w:type="pct"/>
            <w:tcMar>
              <w:top w:w="96" w:type="dxa"/>
              <w:left w:w="96" w:type="dxa"/>
              <w:bottom w:w="96" w:type="dxa"/>
              <w:right w:w="96" w:type="dxa"/>
            </w:tcMar>
            <w:vAlign w:val="center"/>
          </w:tcPr>
          <w:p w14:paraId="730DD7AA">
            <w:pPr>
              <w:widowControl/>
              <w:wordWrap/>
              <w:autoSpaceDE/>
              <w:autoSpaceDN/>
              <w:jc w:val="center"/>
              <w:rPr>
                <w:rFonts w:ascii="Times New Roman" w:hAnsi="Times New Roman" w:cs="Times New Roman"/>
                <w:sz w:val="21"/>
                <w:szCs w:val="21"/>
                <w:lang w:eastAsia="zh-CN"/>
              </w:rPr>
            </w:pPr>
            <w:r>
              <w:rPr>
                <w:rFonts w:hint="eastAsia" w:ascii="宋体" w:hAnsi="宋体" w:cs="Times New Roman"/>
                <w:kern w:val="0"/>
                <w:sz w:val="24"/>
                <w:szCs w:val="24"/>
                <w:lang w:eastAsia="zh-CN"/>
              </w:rPr>
              <w:t>现场开启设备 GNSS 功能，测试设备对 GPS、北斗等多系统的接收能力，确认设备可通过多系统 GNSS 接收机获取稳定定位信号，并为扫描作业提供绝对坐标初值；核查设备 GNSS 模块规格说明文件。</w:t>
            </w:r>
          </w:p>
        </w:tc>
        <w:tc>
          <w:tcPr>
            <w:tcW w:w="806" w:type="pct"/>
            <w:tcMar>
              <w:top w:w="96" w:type="dxa"/>
              <w:left w:w="96" w:type="dxa"/>
              <w:bottom w:w="96" w:type="dxa"/>
              <w:right w:w="96" w:type="dxa"/>
            </w:tcMar>
            <w:vAlign w:val="center"/>
          </w:tcPr>
          <w:p w14:paraId="5BC167EE">
            <w:pPr>
              <w:widowControl/>
              <w:wordWrap/>
              <w:autoSpaceDE/>
              <w:autoSpaceDN/>
              <w:jc w:val="center"/>
              <w:rPr>
                <w:rFonts w:ascii="Times New Roman" w:hAnsi="Times New Roman" w:cs="Times New Roman"/>
                <w:sz w:val="21"/>
                <w:szCs w:val="21"/>
                <w:lang w:eastAsia="zh-CN"/>
              </w:rPr>
            </w:pPr>
            <w:r>
              <w:rPr>
                <w:rFonts w:hint="eastAsia" w:ascii="宋体" w:hAnsi="宋体" w:cs="Times New Roman"/>
                <w:kern w:val="0"/>
                <w:sz w:val="24"/>
                <w:szCs w:val="24"/>
                <w:lang w:eastAsia="zh-CN"/>
              </w:rPr>
              <w:t>否</w:t>
            </w:r>
          </w:p>
        </w:tc>
      </w:tr>
      <w:tr w14:paraId="34077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239" w:type="pct"/>
            <w:tcMar>
              <w:top w:w="96" w:type="dxa"/>
              <w:left w:w="96" w:type="dxa"/>
              <w:bottom w:w="96" w:type="dxa"/>
              <w:right w:w="96" w:type="dxa"/>
            </w:tcMar>
            <w:vAlign w:val="center"/>
          </w:tcPr>
          <w:p w14:paraId="365DE5C4">
            <w:pPr>
              <w:widowControl/>
              <w:wordWrap/>
              <w:autoSpaceDE/>
              <w:autoSpaceDN/>
              <w:jc w:val="center"/>
              <w:rPr>
                <w:rFonts w:ascii="Times New Roman" w:hAnsi="Times New Roman" w:cs="Times New Roman"/>
                <w:sz w:val="21"/>
                <w:szCs w:val="21"/>
                <w:lang w:eastAsia="zh-CN"/>
              </w:rPr>
            </w:pPr>
            <w:r>
              <w:rPr>
                <w:rFonts w:hint="eastAsia" w:ascii="宋体" w:hAnsi="宋体" w:cs="Times New Roman"/>
                <w:kern w:val="0"/>
                <w:sz w:val="24"/>
                <w:szCs w:val="24"/>
                <w:lang w:eastAsia="zh-CN"/>
              </w:rPr>
              <w:t>10</w:t>
            </w:r>
          </w:p>
        </w:tc>
        <w:tc>
          <w:tcPr>
            <w:tcW w:w="1758" w:type="pct"/>
            <w:tcMar>
              <w:top w:w="96" w:type="dxa"/>
              <w:left w:w="96" w:type="dxa"/>
              <w:bottom w:w="96" w:type="dxa"/>
              <w:right w:w="96" w:type="dxa"/>
            </w:tcMar>
            <w:vAlign w:val="center"/>
          </w:tcPr>
          <w:p w14:paraId="4FE2C22B">
            <w:pPr>
              <w:widowControl/>
              <w:wordWrap/>
              <w:autoSpaceDE/>
              <w:autoSpaceDN/>
              <w:jc w:val="center"/>
              <w:rPr>
                <w:rFonts w:ascii="Times New Roman" w:hAnsi="Times New Roman" w:cs="Times New Roman"/>
                <w:sz w:val="21"/>
                <w:szCs w:val="21"/>
                <w:lang w:eastAsia="zh-CN"/>
              </w:rPr>
            </w:pPr>
            <w:r>
              <w:rPr>
                <w:rFonts w:hint="eastAsia" w:ascii="宋体" w:hAnsi="宋体" w:cs="Times New Roman"/>
                <w:kern w:val="0"/>
                <w:sz w:val="24"/>
                <w:szCs w:val="24"/>
                <w:lang w:eastAsia="zh-CN"/>
              </w:rPr>
              <w:t>指南针和测高仪，辅助确定航向和提供高精度相对高程</w:t>
            </w:r>
          </w:p>
        </w:tc>
        <w:tc>
          <w:tcPr>
            <w:tcW w:w="2195" w:type="pct"/>
            <w:tcMar>
              <w:top w:w="96" w:type="dxa"/>
              <w:left w:w="96" w:type="dxa"/>
              <w:bottom w:w="96" w:type="dxa"/>
              <w:right w:w="96" w:type="dxa"/>
            </w:tcMar>
            <w:vAlign w:val="center"/>
          </w:tcPr>
          <w:p w14:paraId="364EF5DF">
            <w:pPr>
              <w:widowControl/>
              <w:wordWrap/>
              <w:autoSpaceDE/>
              <w:autoSpaceDN/>
              <w:jc w:val="center"/>
              <w:rPr>
                <w:rFonts w:ascii="Times New Roman" w:hAnsi="Times New Roman" w:cs="Times New Roman"/>
                <w:sz w:val="21"/>
                <w:szCs w:val="21"/>
                <w:lang w:eastAsia="zh-CN"/>
              </w:rPr>
            </w:pPr>
            <w:r>
              <w:rPr>
                <w:rFonts w:hint="eastAsia" w:ascii="宋体" w:hAnsi="宋体" w:cs="Times New Roman"/>
                <w:kern w:val="0"/>
                <w:sz w:val="24"/>
                <w:szCs w:val="24"/>
                <w:lang w:eastAsia="zh-CN"/>
              </w:rPr>
              <w:t>现场测试设备内置指南针与测高仪功能，确认设备可辅助确定作业航向，并提供高精度相对高程数据；核查设备内置传感器的规格说明文件。</w:t>
            </w:r>
          </w:p>
        </w:tc>
        <w:tc>
          <w:tcPr>
            <w:tcW w:w="806" w:type="pct"/>
            <w:tcMar>
              <w:top w:w="96" w:type="dxa"/>
              <w:left w:w="96" w:type="dxa"/>
              <w:bottom w:w="96" w:type="dxa"/>
              <w:right w:w="96" w:type="dxa"/>
            </w:tcMar>
            <w:vAlign w:val="center"/>
          </w:tcPr>
          <w:p w14:paraId="066D81D1">
            <w:pPr>
              <w:widowControl/>
              <w:wordWrap/>
              <w:autoSpaceDE/>
              <w:autoSpaceDN/>
              <w:jc w:val="center"/>
              <w:rPr>
                <w:rFonts w:ascii="Times New Roman" w:hAnsi="Times New Roman" w:cs="Times New Roman"/>
                <w:sz w:val="21"/>
                <w:szCs w:val="21"/>
                <w:lang w:eastAsia="zh-CN"/>
              </w:rPr>
            </w:pPr>
            <w:r>
              <w:rPr>
                <w:rFonts w:hint="eastAsia" w:ascii="宋体" w:hAnsi="宋体" w:cs="Times New Roman"/>
                <w:kern w:val="0"/>
                <w:sz w:val="24"/>
                <w:szCs w:val="24"/>
                <w:lang w:eastAsia="zh-CN"/>
              </w:rPr>
              <w:t>否</w:t>
            </w:r>
          </w:p>
        </w:tc>
      </w:tr>
      <w:tr w14:paraId="6CC88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239" w:type="pct"/>
            <w:tcMar>
              <w:top w:w="96" w:type="dxa"/>
              <w:left w:w="96" w:type="dxa"/>
              <w:bottom w:w="96" w:type="dxa"/>
              <w:right w:w="96" w:type="dxa"/>
            </w:tcMar>
            <w:vAlign w:val="center"/>
          </w:tcPr>
          <w:p w14:paraId="2174D14F">
            <w:pPr>
              <w:widowControl/>
              <w:wordWrap/>
              <w:autoSpaceDE/>
              <w:autoSpaceDN/>
              <w:jc w:val="center"/>
              <w:rPr>
                <w:rFonts w:ascii="Times New Roman" w:hAnsi="Times New Roman" w:cs="Times New Roman"/>
                <w:sz w:val="21"/>
                <w:szCs w:val="21"/>
                <w:lang w:eastAsia="zh-CN"/>
              </w:rPr>
            </w:pPr>
            <w:r>
              <w:rPr>
                <w:rFonts w:hint="eastAsia" w:ascii="宋体" w:hAnsi="宋体" w:cs="Times New Roman"/>
                <w:kern w:val="0"/>
                <w:sz w:val="24"/>
                <w:szCs w:val="24"/>
                <w:lang w:eastAsia="zh-CN"/>
              </w:rPr>
              <w:t>11</w:t>
            </w:r>
          </w:p>
        </w:tc>
        <w:tc>
          <w:tcPr>
            <w:tcW w:w="1758" w:type="pct"/>
            <w:tcMar>
              <w:top w:w="96" w:type="dxa"/>
              <w:left w:w="96" w:type="dxa"/>
              <w:bottom w:w="96" w:type="dxa"/>
              <w:right w:w="96" w:type="dxa"/>
            </w:tcMar>
            <w:vAlign w:val="center"/>
          </w:tcPr>
          <w:p w14:paraId="668F923A">
            <w:pPr>
              <w:widowControl/>
              <w:wordWrap/>
              <w:autoSpaceDE/>
              <w:autoSpaceDN/>
              <w:jc w:val="center"/>
              <w:rPr>
                <w:rFonts w:ascii="Times New Roman" w:hAnsi="Times New Roman" w:cs="Times New Roman"/>
                <w:sz w:val="21"/>
                <w:szCs w:val="21"/>
                <w:lang w:eastAsia="zh-CN"/>
              </w:rPr>
            </w:pPr>
            <w:r>
              <w:rPr>
                <w:rFonts w:hint="eastAsia" w:ascii="宋体" w:hAnsi="宋体" w:cs="Times New Roman"/>
                <w:kern w:val="0"/>
                <w:sz w:val="24"/>
                <w:szCs w:val="24"/>
                <w:lang w:eastAsia="zh-CN"/>
              </w:rPr>
              <w:t>支持遥控工作，可通过移动端远程控制扫描仪测量、拍照，实时显示成果，可对测量数据进行拼接、标注、切片检查，支持全部的操作在便携设备上完成，无须操作扫描仪</w:t>
            </w:r>
          </w:p>
        </w:tc>
        <w:tc>
          <w:tcPr>
            <w:tcW w:w="2195" w:type="pct"/>
            <w:tcMar>
              <w:top w:w="96" w:type="dxa"/>
              <w:left w:w="96" w:type="dxa"/>
              <w:bottom w:w="96" w:type="dxa"/>
              <w:right w:w="96" w:type="dxa"/>
            </w:tcMar>
            <w:vAlign w:val="center"/>
          </w:tcPr>
          <w:p w14:paraId="38201E06">
            <w:pPr>
              <w:widowControl/>
              <w:wordWrap/>
              <w:autoSpaceDE/>
              <w:autoSpaceDN/>
              <w:jc w:val="center"/>
              <w:rPr>
                <w:rFonts w:ascii="Times New Roman" w:hAnsi="Times New Roman" w:cs="Times New Roman"/>
                <w:sz w:val="21"/>
                <w:szCs w:val="21"/>
                <w:lang w:eastAsia="zh-CN"/>
              </w:rPr>
            </w:pPr>
            <w:r>
              <w:rPr>
                <w:rFonts w:hint="eastAsia" w:ascii="宋体" w:hAnsi="宋体" w:cs="Times New Roman"/>
                <w:kern w:val="0"/>
                <w:sz w:val="24"/>
                <w:szCs w:val="24"/>
                <w:lang w:eastAsia="zh-CN"/>
              </w:rPr>
              <w:t>使用指定移动端设备，连接设备后，远程发起测量、拍照指令，实时查看数据成果，测试数据拼接、标注、切片检查等功能，确认所有操作可在移动端正常执行，无需直接操作设备主机。</w:t>
            </w:r>
          </w:p>
        </w:tc>
        <w:tc>
          <w:tcPr>
            <w:tcW w:w="806" w:type="pct"/>
            <w:tcMar>
              <w:top w:w="96" w:type="dxa"/>
              <w:left w:w="96" w:type="dxa"/>
              <w:bottom w:w="96" w:type="dxa"/>
              <w:right w:w="96" w:type="dxa"/>
            </w:tcMar>
            <w:vAlign w:val="center"/>
          </w:tcPr>
          <w:p w14:paraId="654CB1AC">
            <w:pPr>
              <w:widowControl/>
              <w:wordWrap/>
              <w:autoSpaceDE/>
              <w:autoSpaceDN/>
              <w:jc w:val="center"/>
              <w:rPr>
                <w:rFonts w:ascii="Times New Roman" w:hAnsi="Times New Roman" w:cs="Times New Roman"/>
                <w:sz w:val="21"/>
                <w:szCs w:val="21"/>
                <w:lang w:eastAsia="zh-CN"/>
              </w:rPr>
            </w:pPr>
            <w:r>
              <w:rPr>
                <w:rFonts w:hint="eastAsia" w:ascii="宋体" w:hAnsi="宋体" w:cs="Times New Roman"/>
                <w:kern w:val="0"/>
                <w:sz w:val="24"/>
                <w:szCs w:val="24"/>
                <w:lang w:eastAsia="zh-CN"/>
              </w:rPr>
              <w:t>否</w:t>
            </w:r>
          </w:p>
        </w:tc>
      </w:tr>
      <w:tr w14:paraId="4D248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239" w:type="pct"/>
            <w:tcMar>
              <w:top w:w="96" w:type="dxa"/>
              <w:left w:w="96" w:type="dxa"/>
              <w:bottom w:w="96" w:type="dxa"/>
              <w:right w:w="96" w:type="dxa"/>
            </w:tcMar>
            <w:vAlign w:val="center"/>
          </w:tcPr>
          <w:p w14:paraId="4801FFB4">
            <w:pPr>
              <w:widowControl/>
              <w:wordWrap/>
              <w:autoSpaceDE/>
              <w:autoSpaceDN/>
              <w:jc w:val="center"/>
              <w:rPr>
                <w:rFonts w:ascii="Times New Roman" w:hAnsi="Times New Roman" w:cs="Times New Roman"/>
                <w:sz w:val="21"/>
                <w:szCs w:val="21"/>
                <w:lang w:eastAsia="zh-CN"/>
              </w:rPr>
            </w:pPr>
            <w:r>
              <w:rPr>
                <w:rFonts w:hint="eastAsia" w:ascii="宋体" w:hAnsi="宋体" w:cs="Times New Roman"/>
                <w:kern w:val="0"/>
                <w:sz w:val="24"/>
                <w:szCs w:val="24"/>
                <w:lang w:eastAsia="zh-CN"/>
              </w:rPr>
              <w:t>12</w:t>
            </w:r>
          </w:p>
        </w:tc>
        <w:tc>
          <w:tcPr>
            <w:tcW w:w="1758" w:type="pct"/>
            <w:tcMar>
              <w:top w:w="96" w:type="dxa"/>
              <w:left w:w="96" w:type="dxa"/>
              <w:bottom w:w="96" w:type="dxa"/>
              <w:right w:w="96" w:type="dxa"/>
            </w:tcMar>
            <w:vAlign w:val="center"/>
          </w:tcPr>
          <w:p w14:paraId="32E32AEA">
            <w:pPr>
              <w:widowControl/>
              <w:wordWrap/>
              <w:autoSpaceDE/>
              <w:autoSpaceDN/>
              <w:jc w:val="center"/>
              <w:rPr>
                <w:rFonts w:ascii="Times New Roman" w:hAnsi="Times New Roman" w:cs="Times New Roman"/>
                <w:sz w:val="21"/>
                <w:szCs w:val="21"/>
                <w:lang w:eastAsia="zh-CN"/>
              </w:rPr>
            </w:pPr>
            <w:r>
              <w:rPr>
                <w:rFonts w:hint="eastAsia" w:ascii="宋体" w:hAnsi="宋体" w:cs="Times New Roman"/>
                <w:kern w:val="0"/>
                <w:sz w:val="24"/>
                <w:szCs w:val="24"/>
                <w:lang w:eastAsia="zh-CN"/>
              </w:rPr>
              <w:t>工作温度（无预热及保温措施）：-5℃～40℃，白天、夜晚均可工作；储存温度：-40℃～70℃；防尘 / 防水等级：≥IP54 标准</w:t>
            </w:r>
          </w:p>
        </w:tc>
        <w:tc>
          <w:tcPr>
            <w:tcW w:w="2195" w:type="pct"/>
            <w:tcMar>
              <w:top w:w="96" w:type="dxa"/>
              <w:left w:w="96" w:type="dxa"/>
              <w:bottom w:w="96" w:type="dxa"/>
              <w:right w:w="96" w:type="dxa"/>
            </w:tcMar>
            <w:vAlign w:val="center"/>
          </w:tcPr>
          <w:p w14:paraId="40AEA5B2">
            <w:pPr>
              <w:widowControl/>
              <w:wordWrap/>
              <w:autoSpaceDE/>
              <w:autoSpaceDN/>
              <w:jc w:val="center"/>
              <w:rPr>
                <w:rFonts w:ascii="Times New Roman" w:hAnsi="Times New Roman" w:cs="Times New Roman"/>
                <w:sz w:val="21"/>
                <w:szCs w:val="21"/>
                <w:lang w:eastAsia="zh-CN"/>
              </w:rPr>
            </w:pPr>
            <w:r>
              <w:rPr>
                <w:rFonts w:hint="eastAsia" w:ascii="宋体" w:hAnsi="宋体" w:cs="Times New Roman"/>
                <w:kern w:val="0"/>
                <w:sz w:val="24"/>
                <w:szCs w:val="24"/>
                <w:lang w:eastAsia="zh-CN"/>
              </w:rPr>
              <w:t>核查设备原厂 IP 防护等级认证文件、温度环境适应性测试报告，确认防护等级≥IP54，工作 / 储存温度范围满足技术要求；现场在设备允许的工作温度范围内（常温环境）正常开机运行，无异常故障。</w:t>
            </w:r>
          </w:p>
        </w:tc>
        <w:tc>
          <w:tcPr>
            <w:tcW w:w="806" w:type="pct"/>
            <w:tcMar>
              <w:top w:w="96" w:type="dxa"/>
              <w:left w:w="96" w:type="dxa"/>
              <w:bottom w:w="96" w:type="dxa"/>
              <w:right w:w="96" w:type="dxa"/>
            </w:tcMar>
            <w:vAlign w:val="center"/>
          </w:tcPr>
          <w:p w14:paraId="606FA018">
            <w:pPr>
              <w:widowControl/>
              <w:wordWrap/>
              <w:autoSpaceDE/>
              <w:autoSpaceDN/>
              <w:jc w:val="center"/>
              <w:rPr>
                <w:rFonts w:ascii="Times New Roman" w:hAnsi="Times New Roman" w:cs="Times New Roman"/>
                <w:sz w:val="21"/>
                <w:szCs w:val="21"/>
                <w:lang w:eastAsia="zh-CN"/>
              </w:rPr>
            </w:pPr>
            <w:r>
              <w:rPr>
                <w:rFonts w:hint="eastAsia" w:ascii="宋体" w:hAnsi="宋体" w:cs="Times New Roman"/>
                <w:kern w:val="0"/>
                <w:sz w:val="24"/>
                <w:szCs w:val="24"/>
                <w:lang w:eastAsia="zh-CN"/>
              </w:rPr>
              <w:t>否</w:t>
            </w:r>
          </w:p>
        </w:tc>
      </w:tr>
      <w:tr w14:paraId="63AF2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239" w:type="pct"/>
            <w:tcMar>
              <w:top w:w="96" w:type="dxa"/>
              <w:left w:w="96" w:type="dxa"/>
              <w:bottom w:w="96" w:type="dxa"/>
              <w:right w:w="96" w:type="dxa"/>
            </w:tcMar>
            <w:vAlign w:val="center"/>
          </w:tcPr>
          <w:p w14:paraId="2C8CDC8B">
            <w:pPr>
              <w:widowControl/>
              <w:wordWrap/>
              <w:autoSpaceDE/>
              <w:autoSpaceDN/>
              <w:jc w:val="center"/>
              <w:rPr>
                <w:rFonts w:ascii="Times New Roman" w:hAnsi="Times New Roman" w:cs="Times New Roman"/>
                <w:sz w:val="21"/>
                <w:szCs w:val="21"/>
                <w:lang w:eastAsia="zh-CN"/>
              </w:rPr>
            </w:pPr>
            <w:r>
              <w:rPr>
                <w:rFonts w:hint="eastAsia" w:ascii="宋体" w:hAnsi="宋体" w:cs="Times New Roman"/>
                <w:kern w:val="0"/>
                <w:sz w:val="24"/>
                <w:szCs w:val="24"/>
                <w:lang w:eastAsia="zh-CN"/>
              </w:rPr>
              <w:t>13</w:t>
            </w:r>
          </w:p>
        </w:tc>
        <w:tc>
          <w:tcPr>
            <w:tcW w:w="1758" w:type="pct"/>
            <w:tcMar>
              <w:top w:w="96" w:type="dxa"/>
              <w:left w:w="96" w:type="dxa"/>
              <w:bottom w:w="96" w:type="dxa"/>
              <w:right w:w="96" w:type="dxa"/>
            </w:tcMar>
            <w:vAlign w:val="center"/>
          </w:tcPr>
          <w:p w14:paraId="4F30F086">
            <w:pPr>
              <w:widowControl/>
              <w:wordWrap/>
              <w:autoSpaceDE/>
              <w:autoSpaceDN/>
              <w:jc w:val="center"/>
              <w:rPr>
                <w:rFonts w:ascii="Times New Roman" w:hAnsi="Times New Roman" w:cs="Times New Roman"/>
                <w:sz w:val="21"/>
                <w:szCs w:val="21"/>
                <w:lang w:eastAsia="zh-CN"/>
              </w:rPr>
            </w:pPr>
            <w:r>
              <w:rPr>
                <w:rFonts w:hint="eastAsia" w:ascii="宋体" w:hAnsi="宋体" w:cs="Times New Roman"/>
                <w:kern w:val="0"/>
                <w:sz w:val="24"/>
                <w:szCs w:val="24"/>
                <w:lang w:eastAsia="zh-CN"/>
              </w:rPr>
              <w:t>机载电池供电时间不小于 4 小时，机载电池支持热插拔（更换其中 1 块电池无需关机）</w:t>
            </w:r>
          </w:p>
        </w:tc>
        <w:tc>
          <w:tcPr>
            <w:tcW w:w="2195" w:type="pct"/>
            <w:tcMar>
              <w:top w:w="96" w:type="dxa"/>
              <w:left w:w="96" w:type="dxa"/>
              <w:bottom w:w="96" w:type="dxa"/>
              <w:right w:w="96" w:type="dxa"/>
            </w:tcMar>
            <w:vAlign w:val="center"/>
          </w:tcPr>
          <w:p w14:paraId="5703AC2D">
            <w:pPr>
              <w:widowControl/>
              <w:wordWrap/>
              <w:autoSpaceDE/>
              <w:autoSpaceDN/>
              <w:jc w:val="center"/>
              <w:rPr>
                <w:rFonts w:ascii="Times New Roman" w:hAnsi="Times New Roman" w:cs="Times New Roman"/>
                <w:sz w:val="21"/>
                <w:szCs w:val="21"/>
                <w:lang w:eastAsia="zh-CN"/>
              </w:rPr>
            </w:pPr>
            <w:r>
              <w:rPr>
                <w:rFonts w:hint="eastAsia" w:ascii="宋体" w:hAnsi="宋体" w:cs="Times New Roman"/>
                <w:kern w:val="0"/>
                <w:sz w:val="24"/>
                <w:szCs w:val="24"/>
                <w:lang w:eastAsia="zh-CN"/>
              </w:rPr>
              <w:t>使用设备标配机载电池，在标准工作模式下连续运行，记录电池供电时长，确认不低于 4 小时；测试电池热插拔功能，更换单块电池过程中设备无需关机，可正常继续工作。</w:t>
            </w:r>
          </w:p>
        </w:tc>
        <w:tc>
          <w:tcPr>
            <w:tcW w:w="806" w:type="pct"/>
            <w:tcMar>
              <w:top w:w="96" w:type="dxa"/>
              <w:left w:w="96" w:type="dxa"/>
              <w:bottom w:w="96" w:type="dxa"/>
              <w:right w:w="96" w:type="dxa"/>
            </w:tcMar>
            <w:vAlign w:val="center"/>
          </w:tcPr>
          <w:p w14:paraId="28450AAE">
            <w:pPr>
              <w:widowControl/>
              <w:wordWrap/>
              <w:autoSpaceDE/>
              <w:autoSpaceDN/>
              <w:jc w:val="center"/>
              <w:rPr>
                <w:rFonts w:ascii="Times New Roman" w:hAnsi="Times New Roman" w:cs="Times New Roman"/>
                <w:sz w:val="21"/>
                <w:szCs w:val="21"/>
                <w:lang w:eastAsia="zh-CN"/>
              </w:rPr>
            </w:pPr>
            <w:r>
              <w:rPr>
                <w:rFonts w:hint="eastAsia" w:ascii="宋体" w:hAnsi="宋体" w:cs="Times New Roman"/>
                <w:kern w:val="0"/>
                <w:sz w:val="24"/>
                <w:szCs w:val="24"/>
                <w:lang w:eastAsia="zh-CN"/>
              </w:rPr>
              <w:t>否</w:t>
            </w:r>
          </w:p>
        </w:tc>
      </w:tr>
      <w:tr w14:paraId="19370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239" w:type="pct"/>
            <w:tcMar>
              <w:top w:w="96" w:type="dxa"/>
              <w:left w:w="96" w:type="dxa"/>
              <w:bottom w:w="96" w:type="dxa"/>
              <w:right w:w="96" w:type="dxa"/>
            </w:tcMar>
            <w:vAlign w:val="center"/>
          </w:tcPr>
          <w:p w14:paraId="0FD2FF94">
            <w:pPr>
              <w:widowControl/>
              <w:wordWrap/>
              <w:autoSpaceDE/>
              <w:autoSpaceDN/>
              <w:jc w:val="center"/>
              <w:rPr>
                <w:rFonts w:ascii="Times New Roman" w:hAnsi="Times New Roman" w:cs="Times New Roman"/>
                <w:sz w:val="21"/>
                <w:szCs w:val="21"/>
                <w:lang w:eastAsia="zh-CN"/>
              </w:rPr>
            </w:pPr>
            <w:r>
              <w:rPr>
                <w:rFonts w:hint="eastAsia" w:ascii="宋体" w:hAnsi="宋体" w:cs="Times New Roman"/>
                <w:kern w:val="0"/>
                <w:sz w:val="24"/>
                <w:szCs w:val="24"/>
                <w:lang w:eastAsia="zh-CN"/>
              </w:rPr>
              <w:t>14</w:t>
            </w:r>
          </w:p>
        </w:tc>
        <w:tc>
          <w:tcPr>
            <w:tcW w:w="1758" w:type="pct"/>
            <w:tcMar>
              <w:top w:w="96" w:type="dxa"/>
              <w:left w:w="96" w:type="dxa"/>
              <w:bottom w:w="96" w:type="dxa"/>
              <w:right w:w="96" w:type="dxa"/>
            </w:tcMar>
            <w:vAlign w:val="center"/>
          </w:tcPr>
          <w:p w14:paraId="65A3FEEC">
            <w:pPr>
              <w:widowControl/>
              <w:wordWrap/>
              <w:autoSpaceDE/>
              <w:autoSpaceDN/>
              <w:jc w:val="center"/>
              <w:rPr>
                <w:rFonts w:ascii="Times New Roman" w:hAnsi="Times New Roman" w:cs="Times New Roman"/>
                <w:sz w:val="21"/>
                <w:szCs w:val="21"/>
                <w:lang w:eastAsia="zh-CN"/>
              </w:rPr>
            </w:pPr>
            <w:r>
              <w:rPr>
                <w:rFonts w:hint="eastAsia" w:ascii="宋体" w:hAnsi="宋体" w:cs="Times New Roman"/>
                <w:kern w:val="0"/>
                <w:sz w:val="24"/>
                <w:szCs w:val="24"/>
                <w:lang w:eastAsia="zh-CN"/>
              </w:rPr>
              <w:t>扫描数据存储器可热插拔（更换扫描数据存储器无需关机），标配至少 2 个，单个存储容量不小于 200GB</w:t>
            </w:r>
          </w:p>
        </w:tc>
        <w:tc>
          <w:tcPr>
            <w:tcW w:w="2195" w:type="pct"/>
            <w:tcMar>
              <w:top w:w="96" w:type="dxa"/>
              <w:left w:w="96" w:type="dxa"/>
              <w:bottom w:w="96" w:type="dxa"/>
              <w:right w:w="96" w:type="dxa"/>
            </w:tcMar>
            <w:vAlign w:val="center"/>
          </w:tcPr>
          <w:p w14:paraId="4DDE6A9F">
            <w:pPr>
              <w:widowControl/>
              <w:wordWrap/>
              <w:autoSpaceDE/>
              <w:autoSpaceDN/>
              <w:jc w:val="center"/>
              <w:rPr>
                <w:rFonts w:ascii="Times New Roman" w:hAnsi="Times New Roman" w:cs="Times New Roman"/>
                <w:sz w:val="21"/>
                <w:szCs w:val="21"/>
                <w:lang w:eastAsia="zh-CN"/>
              </w:rPr>
            </w:pPr>
            <w:r>
              <w:rPr>
                <w:rFonts w:hint="eastAsia" w:ascii="宋体" w:hAnsi="宋体" w:cs="Times New Roman"/>
                <w:kern w:val="0"/>
                <w:sz w:val="24"/>
                <w:szCs w:val="24"/>
                <w:lang w:eastAsia="zh-CN"/>
              </w:rPr>
              <w:t>核查设备标配数据存储器的数量、单盘容量，确认数量≥2 个，单盘容量≥200GB；现场测试存储器热插拔功能，更换过程中设备无需关机，数据不丢失、设备运行无异常。</w:t>
            </w:r>
          </w:p>
        </w:tc>
        <w:tc>
          <w:tcPr>
            <w:tcW w:w="806" w:type="pct"/>
            <w:tcMar>
              <w:top w:w="96" w:type="dxa"/>
              <w:left w:w="96" w:type="dxa"/>
              <w:bottom w:w="96" w:type="dxa"/>
              <w:right w:w="96" w:type="dxa"/>
            </w:tcMar>
            <w:vAlign w:val="center"/>
          </w:tcPr>
          <w:p w14:paraId="168A4963">
            <w:pPr>
              <w:widowControl/>
              <w:wordWrap/>
              <w:autoSpaceDE/>
              <w:autoSpaceDN/>
              <w:jc w:val="center"/>
              <w:rPr>
                <w:rFonts w:ascii="Times New Roman" w:hAnsi="Times New Roman" w:cs="Times New Roman"/>
                <w:sz w:val="21"/>
                <w:szCs w:val="21"/>
                <w:lang w:eastAsia="zh-CN"/>
              </w:rPr>
            </w:pPr>
            <w:r>
              <w:rPr>
                <w:rFonts w:hint="eastAsia" w:ascii="宋体" w:hAnsi="宋体" w:cs="Times New Roman"/>
                <w:kern w:val="0"/>
                <w:sz w:val="24"/>
                <w:szCs w:val="24"/>
                <w:lang w:eastAsia="zh-CN"/>
              </w:rPr>
              <w:t>否</w:t>
            </w:r>
          </w:p>
        </w:tc>
      </w:tr>
    </w:tbl>
    <w:p w14:paraId="3CF68CA9">
      <w:pPr>
        <w:wordWrap/>
        <w:autoSpaceDE/>
        <w:autoSpaceDN/>
        <w:rPr>
          <w:rFonts w:ascii="宋体" w:hAnsi="宋体" w:cs="宋体"/>
          <w:bCs/>
          <w:sz w:val="24"/>
          <w:szCs w:val="24"/>
          <w:highlight w:val="yellow"/>
          <w:lang w:eastAsia="zh-CN"/>
        </w:rPr>
      </w:pPr>
    </w:p>
    <w:p w14:paraId="67FFF007">
      <w:pPr>
        <w:wordWrap/>
        <w:autoSpaceDE/>
        <w:autoSpaceDN/>
        <w:rPr>
          <w:rFonts w:ascii="宋体" w:hAnsi="宋体" w:cs="Times New Roman"/>
          <w:b/>
          <w:bCs w:val="0"/>
          <w:sz w:val="24"/>
          <w:szCs w:val="24"/>
          <w:highlight w:val="none"/>
          <w:lang w:eastAsia="zh-CN"/>
        </w:rPr>
      </w:pPr>
      <w:r>
        <w:rPr>
          <w:rFonts w:ascii="宋体" w:hAnsi="宋体" w:cs="宋体"/>
          <w:b/>
          <w:bCs w:val="0"/>
          <w:sz w:val="24"/>
          <w:szCs w:val="24"/>
          <w:highlight w:val="none"/>
          <w:lang w:eastAsia="zh-CN"/>
        </w:rPr>
        <w:t>高精度立体成像系统</w:t>
      </w:r>
      <w:r>
        <w:rPr>
          <w:rFonts w:hint="eastAsia" w:ascii="宋体" w:hAnsi="宋体" w:cs="Times New Roman"/>
          <w:b/>
          <w:bCs w:val="0"/>
          <w:sz w:val="24"/>
          <w:szCs w:val="24"/>
          <w:highlight w:val="none"/>
          <w:lang w:eastAsia="zh-CN"/>
        </w:rPr>
        <w:t>数据后处理软件验收条件</w:t>
      </w:r>
    </w:p>
    <w:tbl>
      <w:tblPr>
        <w:tblStyle w:val="11"/>
        <w:tblW w:w="554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451"/>
        <w:gridCol w:w="3579"/>
        <w:gridCol w:w="4189"/>
        <w:gridCol w:w="1202"/>
      </w:tblGrid>
      <w:tr w14:paraId="097E9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0" w:type="auto"/>
            <w:tcMar>
              <w:top w:w="96" w:type="dxa"/>
              <w:left w:w="96" w:type="dxa"/>
              <w:bottom w:w="96" w:type="dxa"/>
              <w:right w:w="96" w:type="dxa"/>
            </w:tcMar>
            <w:vAlign w:val="center"/>
          </w:tcPr>
          <w:p w14:paraId="36CF6BA9">
            <w:pPr>
              <w:widowControl/>
              <w:wordWrap/>
              <w:autoSpaceDE/>
              <w:autoSpaceDN/>
              <w:jc w:val="left"/>
              <w:rPr>
                <w:rFonts w:hint="eastAsia" w:ascii="Calibri" w:hAnsi="Calibri" w:cs="Times New Roman"/>
                <w:b/>
                <w:bCs/>
                <w:sz w:val="21"/>
                <w:szCs w:val="21"/>
                <w:lang w:eastAsia="zh-CN"/>
              </w:rPr>
            </w:pPr>
            <w:r>
              <w:rPr>
                <w:rFonts w:hint="eastAsia" w:ascii="宋体" w:hAnsi="宋体" w:cs="Times New Roman"/>
                <w:b/>
                <w:bCs/>
                <w:kern w:val="0"/>
                <w:sz w:val="24"/>
                <w:szCs w:val="24"/>
                <w:lang w:eastAsia="zh-CN"/>
              </w:rPr>
              <w:t>序号</w:t>
            </w:r>
          </w:p>
        </w:tc>
        <w:tc>
          <w:tcPr>
            <w:tcW w:w="0" w:type="auto"/>
            <w:tcMar>
              <w:top w:w="96" w:type="dxa"/>
              <w:left w:w="96" w:type="dxa"/>
              <w:bottom w:w="96" w:type="dxa"/>
              <w:right w:w="96" w:type="dxa"/>
            </w:tcMar>
            <w:vAlign w:val="center"/>
          </w:tcPr>
          <w:p w14:paraId="69728188">
            <w:pPr>
              <w:widowControl/>
              <w:wordWrap/>
              <w:autoSpaceDE/>
              <w:autoSpaceDN/>
              <w:jc w:val="left"/>
              <w:rPr>
                <w:rFonts w:ascii="Times New Roman" w:hAnsi="Times New Roman" w:cs="Times New Roman"/>
                <w:b/>
                <w:bCs/>
                <w:sz w:val="21"/>
                <w:szCs w:val="21"/>
                <w:lang w:eastAsia="zh-CN"/>
              </w:rPr>
            </w:pPr>
            <w:r>
              <w:rPr>
                <w:rFonts w:hint="eastAsia" w:ascii="宋体" w:hAnsi="宋体" w:cs="Times New Roman"/>
                <w:b/>
                <w:bCs/>
                <w:kern w:val="0"/>
                <w:sz w:val="24"/>
                <w:szCs w:val="24"/>
                <w:lang w:eastAsia="zh-CN"/>
              </w:rPr>
              <w:t>技术要求</w:t>
            </w:r>
          </w:p>
        </w:tc>
        <w:tc>
          <w:tcPr>
            <w:tcW w:w="2223" w:type="pct"/>
            <w:tcMar>
              <w:top w:w="96" w:type="dxa"/>
              <w:left w:w="96" w:type="dxa"/>
              <w:bottom w:w="96" w:type="dxa"/>
              <w:right w:w="96" w:type="dxa"/>
            </w:tcMar>
            <w:vAlign w:val="center"/>
          </w:tcPr>
          <w:p w14:paraId="51153928">
            <w:pPr>
              <w:widowControl/>
              <w:wordWrap/>
              <w:autoSpaceDE/>
              <w:autoSpaceDN/>
              <w:jc w:val="left"/>
              <w:rPr>
                <w:rFonts w:ascii="Times New Roman" w:hAnsi="Times New Roman" w:cs="Times New Roman"/>
                <w:b/>
                <w:bCs/>
                <w:sz w:val="21"/>
                <w:szCs w:val="21"/>
                <w:lang w:eastAsia="zh-CN"/>
              </w:rPr>
            </w:pPr>
            <w:r>
              <w:rPr>
                <w:rFonts w:hint="eastAsia" w:ascii="宋体" w:hAnsi="宋体" w:cs="Times New Roman"/>
                <w:b/>
                <w:bCs/>
                <w:kern w:val="0"/>
                <w:sz w:val="24"/>
                <w:szCs w:val="24"/>
                <w:lang w:eastAsia="zh-CN"/>
              </w:rPr>
              <w:t>验收方法与验收标准</w:t>
            </w:r>
          </w:p>
        </w:tc>
        <w:tc>
          <w:tcPr>
            <w:tcW w:w="638" w:type="pct"/>
            <w:tcMar>
              <w:top w:w="96" w:type="dxa"/>
              <w:left w:w="96" w:type="dxa"/>
              <w:bottom w:w="96" w:type="dxa"/>
              <w:right w:w="96" w:type="dxa"/>
            </w:tcMar>
            <w:vAlign w:val="center"/>
          </w:tcPr>
          <w:p w14:paraId="40AF8608">
            <w:pPr>
              <w:widowControl/>
              <w:wordWrap/>
              <w:autoSpaceDE/>
              <w:autoSpaceDN/>
              <w:jc w:val="left"/>
              <w:rPr>
                <w:rFonts w:ascii="Times New Roman" w:hAnsi="Times New Roman" w:cs="Times New Roman"/>
                <w:b/>
                <w:bCs/>
                <w:sz w:val="21"/>
                <w:szCs w:val="21"/>
                <w:lang w:eastAsia="zh-CN"/>
              </w:rPr>
            </w:pPr>
            <w:r>
              <w:rPr>
                <w:rFonts w:hint="eastAsia" w:ascii="宋体" w:hAnsi="宋体" w:cs="Times New Roman"/>
                <w:b/>
                <w:bCs/>
                <w:kern w:val="0"/>
                <w:sz w:val="24"/>
                <w:szCs w:val="24"/>
                <w:lang w:eastAsia="zh-CN"/>
              </w:rPr>
              <w:t>需提供佐证材料</w:t>
            </w:r>
          </w:p>
        </w:tc>
      </w:tr>
      <w:tr w14:paraId="0E484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0" w:type="auto"/>
            <w:tcMar>
              <w:top w:w="96" w:type="dxa"/>
              <w:left w:w="96" w:type="dxa"/>
              <w:bottom w:w="96" w:type="dxa"/>
              <w:right w:w="96" w:type="dxa"/>
            </w:tcMar>
            <w:vAlign w:val="center"/>
          </w:tcPr>
          <w:p w14:paraId="41235887">
            <w:pPr>
              <w:widowControl/>
              <w:wordWrap/>
              <w:autoSpaceDE/>
              <w:autoSpaceDN/>
              <w:jc w:val="left"/>
              <w:rPr>
                <w:rFonts w:ascii="Times New Roman" w:hAnsi="Times New Roman" w:cs="Times New Roman"/>
                <w:sz w:val="21"/>
                <w:szCs w:val="21"/>
                <w:lang w:eastAsia="zh-CN"/>
              </w:rPr>
            </w:pPr>
            <w:r>
              <w:rPr>
                <w:rFonts w:hint="eastAsia" w:ascii="宋体" w:hAnsi="宋体" w:cs="Times New Roman"/>
                <w:kern w:val="0"/>
                <w:sz w:val="24"/>
                <w:szCs w:val="24"/>
                <w:lang w:eastAsia="zh-CN"/>
              </w:rPr>
              <w:t>1</w:t>
            </w:r>
          </w:p>
        </w:tc>
        <w:tc>
          <w:tcPr>
            <w:tcW w:w="0" w:type="auto"/>
            <w:tcMar>
              <w:top w:w="96" w:type="dxa"/>
              <w:left w:w="96" w:type="dxa"/>
              <w:bottom w:w="96" w:type="dxa"/>
              <w:right w:w="96" w:type="dxa"/>
            </w:tcMar>
            <w:vAlign w:val="center"/>
          </w:tcPr>
          <w:p w14:paraId="370D4884">
            <w:pPr>
              <w:widowControl/>
              <w:wordWrap/>
              <w:autoSpaceDE/>
              <w:autoSpaceDN/>
              <w:jc w:val="left"/>
              <w:rPr>
                <w:rFonts w:ascii="Times New Roman" w:hAnsi="Times New Roman" w:cs="Times New Roman"/>
                <w:sz w:val="21"/>
                <w:szCs w:val="21"/>
                <w:lang w:eastAsia="zh-CN"/>
              </w:rPr>
            </w:pPr>
            <w:r>
              <w:rPr>
                <w:rFonts w:hint="eastAsia" w:ascii="宋体" w:hAnsi="宋体" w:cs="Times New Roman"/>
                <w:kern w:val="0"/>
                <w:sz w:val="24"/>
                <w:szCs w:val="24"/>
                <w:lang w:eastAsia="zh-CN"/>
              </w:rPr>
              <w:t>数据处理软件支持自动识别不同角度扫描数据并自动拼接成完整点云数据；支持主流点云、模型、BIM、图像、CAD 等多种格式导入</w:t>
            </w:r>
          </w:p>
        </w:tc>
        <w:tc>
          <w:tcPr>
            <w:tcW w:w="2223" w:type="pct"/>
            <w:tcMar>
              <w:top w:w="96" w:type="dxa"/>
              <w:left w:w="96" w:type="dxa"/>
              <w:bottom w:w="96" w:type="dxa"/>
              <w:right w:w="96" w:type="dxa"/>
            </w:tcMar>
            <w:vAlign w:val="center"/>
          </w:tcPr>
          <w:p w14:paraId="711ED0C9">
            <w:pPr>
              <w:widowControl/>
              <w:wordWrap/>
              <w:autoSpaceDE/>
              <w:autoSpaceDN/>
              <w:jc w:val="left"/>
              <w:rPr>
                <w:rFonts w:ascii="Times New Roman" w:hAnsi="Times New Roman" w:cs="Times New Roman"/>
                <w:sz w:val="21"/>
                <w:szCs w:val="21"/>
                <w:lang w:eastAsia="zh-CN"/>
              </w:rPr>
            </w:pPr>
            <w:r>
              <w:rPr>
                <w:rFonts w:hint="eastAsia" w:ascii="宋体" w:hAnsi="宋体" w:cs="Times New Roman"/>
                <w:kern w:val="0"/>
                <w:sz w:val="24"/>
                <w:szCs w:val="24"/>
                <w:lang w:eastAsia="zh-CN"/>
              </w:rPr>
              <w:t>现场导入多站点扫描数据，测试软件自动识别、自动拼接功能，确认可生成完整点云；按技术文件列出的格式清单（asc、csv、xyz、pts、ptx、las、laz、obj、stl、rvt、ifc、jpg、dwg 等），逐一测试导入功能，所有指定格式均可正常导入、读取。</w:t>
            </w:r>
          </w:p>
        </w:tc>
        <w:tc>
          <w:tcPr>
            <w:tcW w:w="638" w:type="pct"/>
            <w:tcMar>
              <w:top w:w="96" w:type="dxa"/>
              <w:left w:w="96" w:type="dxa"/>
              <w:bottom w:w="96" w:type="dxa"/>
              <w:right w:w="96" w:type="dxa"/>
            </w:tcMar>
            <w:vAlign w:val="center"/>
          </w:tcPr>
          <w:p w14:paraId="62B82993">
            <w:pPr>
              <w:widowControl/>
              <w:wordWrap/>
              <w:autoSpaceDE/>
              <w:autoSpaceDN/>
              <w:jc w:val="left"/>
              <w:rPr>
                <w:rFonts w:ascii="Times New Roman" w:hAnsi="Times New Roman" w:cs="Times New Roman"/>
                <w:sz w:val="21"/>
                <w:szCs w:val="21"/>
                <w:lang w:eastAsia="zh-CN"/>
              </w:rPr>
            </w:pPr>
            <w:r>
              <w:rPr>
                <w:rFonts w:hint="eastAsia" w:ascii="宋体" w:hAnsi="宋体" w:cs="Times New Roman"/>
                <w:kern w:val="0"/>
                <w:sz w:val="24"/>
                <w:szCs w:val="24"/>
                <w:lang w:eastAsia="zh-CN"/>
              </w:rPr>
              <w:t>否</w:t>
            </w:r>
          </w:p>
        </w:tc>
      </w:tr>
      <w:tr w14:paraId="0581A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309" w:hRule="atLeast"/>
          <w:jc w:val="center"/>
        </w:trPr>
        <w:tc>
          <w:tcPr>
            <w:tcW w:w="0" w:type="auto"/>
            <w:tcMar>
              <w:top w:w="96" w:type="dxa"/>
              <w:left w:w="96" w:type="dxa"/>
              <w:bottom w:w="96" w:type="dxa"/>
              <w:right w:w="96" w:type="dxa"/>
            </w:tcMar>
            <w:vAlign w:val="center"/>
          </w:tcPr>
          <w:p w14:paraId="1616833B">
            <w:pPr>
              <w:widowControl/>
              <w:wordWrap/>
              <w:autoSpaceDE/>
              <w:autoSpaceDN/>
              <w:jc w:val="left"/>
              <w:rPr>
                <w:rFonts w:ascii="Times New Roman" w:hAnsi="Times New Roman" w:cs="Times New Roman"/>
                <w:sz w:val="21"/>
                <w:szCs w:val="21"/>
                <w:lang w:eastAsia="zh-CN"/>
              </w:rPr>
            </w:pPr>
            <w:r>
              <w:rPr>
                <w:rFonts w:hint="eastAsia" w:ascii="宋体" w:hAnsi="宋体" w:cs="Times New Roman"/>
                <w:kern w:val="0"/>
                <w:sz w:val="24"/>
                <w:szCs w:val="24"/>
                <w:lang w:eastAsia="zh-CN"/>
              </w:rPr>
              <w:t>2</w:t>
            </w:r>
          </w:p>
        </w:tc>
        <w:tc>
          <w:tcPr>
            <w:tcW w:w="0" w:type="auto"/>
            <w:tcMar>
              <w:top w:w="96" w:type="dxa"/>
              <w:left w:w="96" w:type="dxa"/>
              <w:bottom w:w="96" w:type="dxa"/>
              <w:right w:w="96" w:type="dxa"/>
            </w:tcMar>
            <w:vAlign w:val="center"/>
          </w:tcPr>
          <w:p w14:paraId="77152F16">
            <w:pPr>
              <w:widowControl/>
              <w:wordWrap/>
              <w:autoSpaceDE/>
              <w:autoSpaceDN/>
              <w:jc w:val="left"/>
              <w:rPr>
                <w:rFonts w:ascii="Times New Roman" w:hAnsi="Times New Roman" w:cs="Times New Roman"/>
                <w:sz w:val="21"/>
                <w:szCs w:val="21"/>
                <w:lang w:eastAsia="zh-CN"/>
              </w:rPr>
            </w:pPr>
            <w:r>
              <w:rPr>
                <w:rFonts w:hint="eastAsia" w:ascii="宋体" w:hAnsi="宋体" w:cs="Times New Roman"/>
                <w:kern w:val="0"/>
                <w:sz w:val="24"/>
                <w:szCs w:val="24"/>
                <w:lang w:eastAsia="zh-CN"/>
              </w:rPr>
              <w:t>具备管线及钢结构等自动建模、点云最佳匹配生成模型、第三方照片映射到点云上、正射影像图生成、三维动画功能；可实现管道点云数据自动提取、弯管自动拟合、不同管径直管连接、管径获取、弯管半径与角度获取等功能</w:t>
            </w:r>
          </w:p>
        </w:tc>
        <w:tc>
          <w:tcPr>
            <w:tcW w:w="2223" w:type="pct"/>
            <w:tcMar>
              <w:top w:w="96" w:type="dxa"/>
              <w:left w:w="96" w:type="dxa"/>
              <w:bottom w:w="96" w:type="dxa"/>
              <w:right w:w="96" w:type="dxa"/>
            </w:tcMar>
            <w:vAlign w:val="center"/>
          </w:tcPr>
          <w:p w14:paraId="45327203">
            <w:pPr>
              <w:widowControl/>
              <w:wordWrap/>
              <w:autoSpaceDE/>
              <w:autoSpaceDN/>
              <w:jc w:val="left"/>
              <w:rPr>
                <w:rFonts w:ascii="Times New Roman" w:hAnsi="Times New Roman" w:cs="Times New Roman"/>
                <w:sz w:val="21"/>
                <w:szCs w:val="21"/>
                <w:lang w:eastAsia="zh-CN"/>
              </w:rPr>
            </w:pPr>
            <w:r>
              <w:rPr>
                <w:rFonts w:hint="eastAsia" w:ascii="宋体" w:hAnsi="宋体" w:cs="Times New Roman"/>
                <w:kern w:val="0"/>
                <w:sz w:val="24"/>
                <w:szCs w:val="24"/>
                <w:lang w:eastAsia="zh-CN"/>
              </w:rPr>
              <w:t>导入管线 / 钢结构点云数据，测试软件自动建模、最佳匹配生成模型、照片纹理映射、正射影像生成、三维动画制作功能；针对管道点云，测试自动提取、弯管拟合、管径 / 半径 / 角度计算功能，所有功能运行正常，结果准确；提供功能测试报告或案例证明。</w:t>
            </w:r>
          </w:p>
        </w:tc>
        <w:tc>
          <w:tcPr>
            <w:tcW w:w="638" w:type="pct"/>
            <w:tcMar>
              <w:top w:w="96" w:type="dxa"/>
              <w:left w:w="96" w:type="dxa"/>
              <w:bottom w:w="96" w:type="dxa"/>
              <w:right w:w="96" w:type="dxa"/>
            </w:tcMar>
            <w:vAlign w:val="center"/>
          </w:tcPr>
          <w:p w14:paraId="0D63777A">
            <w:pPr>
              <w:widowControl/>
              <w:wordWrap/>
              <w:autoSpaceDE/>
              <w:autoSpaceDN/>
              <w:jc w:val="left"/>
              <w:rPr>
                <w:rFonts w:ascii="Times New Roman" w:hAnsi="Times New Roman" w:cs="Times New Roman"/>
                <w:sz w:val="21"/>
                <w:szCs w:val="21"/>
                <w:lang w:eastAsia="zh-CN"/>
              </w:rPr>
            </w:pPr>
            <w:r>
              <w:rPr>
                <w:rFonts w:hint="eastAsia" w:ascii="宋体" w:hAnsi="宋体" w:cs="Times New Roman"/>
                <w:kern w:val="0"/>
                <w:sz w:val="24"/>
                <w:szCs w:val="24"/>
                <w:lang w:eastAsia="zh-CN"/>
              </w:rPr>
              <w:t>是</w:t>
            </w:r>
          </w:p>
        </w:tc>
      </w:tr>
      <w:tr w14:paraId="1EFC8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0" w:type="auto"/>
            <w:tcMar>
              <w:top w:w="96" w:type="dxa"/>
              <w:left w:w="96" w:type="dxa"/>
              <w:bottom w:w="96" w:type="dxa"/>
              <w:right w:w="96" w:type="dxa"/>
            </w:tcMar>
            <w:vAlign w:val="center"/>
          </w:tcPr>
          <w:p w14:paraId="687BB512">
            <w:pPr>
              <w:widowControl/>
              <w:wordWrap/>
              <w:autoSpaceDE/>
              <w:autoSpaceDN/>
              <w:jc w:val="left"/>
              <w:rPr>
                <w:rFonts w:ascii="Times New Roman" w:hAnsi="Times New Roman" w:cs="Times New Roman"/>
                <w:sz w:val="21"/>
                <w:szCs w:val="21"/>
                <w:lang w:eastAsia="zh-CN"/>
              </w:rPr>
            </w:pPr>
            <w:r>
              <w:rPr>
                <w:rFonts w:hint="eastAsia" w:ascii="宋体" w:hAnsi="宋体" w:cs="Times New Roman"/>
                <w:kern w:val="0"/>
                <w:sz w:val="24"/>
                <w:szCs w:val="24"/>
                <w:lang w:eastAsia="zh-CN"/>
              </w:rPr>
              <w:t>3</w:t>
            </w:r>
          </w:p>
        </w:tc>
        <w:tc>
          <w:tcPr>
            <w:tcW w:w="0" w:type="auto"/>
            <w:tcMar>
              <w:top w:w="96" w:type="dxa"/>
              <w:left w:w="96" w:type="dxa"/>
              <w:bottom w:w="96" w:type="dxa"/>
              <w:right w:w="96" w:type="dxa"/>
            </w:tcMar>
            <w:vAlign w:val="center"/>
          </w:tcPr>
          <w:p w14:paraId="3C18371E">
            <w:pPr>
              <w:widowControl/>
              <w:wordWrap/>
              <w:autoSpaceDE/>
              <w:autoSpaceDN/>
              <w:jc w:val="left"/>
              <w:rPr>
                <w:rFonts w:ascii="Times New Roman" w:hAnsi="Times New Roman" w:cs="Times New Roman"/>
                <w:sz w:val="21"/>
                <w:szCs w:val="21"/>
                <w:lang w:eastAsia="zh-CN"/>
              </w:rPr>
            </w:pPr>
            <w:r>
              <w:rPr>
                <w:rFonts w:hint="eastAsia" w:ascii="宋体" w:hAnsi="宋体" w:cs="Times New Roman"/>
                <w:kern w:val="0"/>
                <w:sz w:val="24"/>
                <w:szCs w:val="24"/>
                <w:lang w:eastAsia="zh-CN"/>
              </w:rPr>
              <w:t>具备点云与主流 BIM 模型类型进行对比检测功能，可直接将建好的模型与点云相结合，检查模型质量，检验施工是否规范</w:t>
            </w:r>
          </w:p>
        </w:tc>
        <w:tc>
          <w:tcPr>
            <w:tcW w:w="2223" w:type="pct"/>
            <w:tcMar>
              <w:top w:w="96" w:type="dxa"/>
              <w:left w:w="96" w:type="dxa"/>
              <w:bottom w:w="96" w:type="dxa"/>
              <w:right w:w="96" w:type="dxa"/>
            </w:tcMar>
            <w:vAlign w:val="center"/>
          </w:tcPr>
          <w:p w14:paraId="054DA069">
            <w:pPr>
              <w:widowControl/>
              <w:wordWrap/>
              <w:autoSpaceDE/>
              <w:autoSpaceDN/>
              <w:jc w:val="left"/>
              <w:rPr>
                <w:rFonts w:ascii="Times New Roman" w:hAnsi="Times New Roman" w:cs="Times New Roman"/>
                <w:sz w:val="21"/>
                <w:szCs w:val="21"/>
                <w:lang w:eastAsia="zh-CN"/>
              </w:rPr>
            </w:pPr>
            <w:r>
              <w:rPr>
                <w:rFonts w:hint="eastAsia" w:ascii="宋体" w:hAnsi="宋体" w:cs="Times New Roman"/>
                <w:kern w:val="0"/>
                <w:sz w:val="24"/>
                <w:szCs w:val="24"/>
                <w:lang w:eastAsia="zh-CN"/>
              </w:rPr>
              <w:t>导入点云数据与对应 BIM 模型数据，测试软件对比检测功能，确认可实现模型与点云的叠加、偏差分析，支持模型质量检查、施工合规性检验，结果可输出并查看。</w:t>
            </w:r>
          </w:p>
        </w:tc>
        <w:tc>
          <w:tcPr>
            <w:tcW w:w="638" w:type="pct"/>
            <w:tcMar>
              <w:top w:w="96" w:type="dxa"/>
              <w:left w:w="96" w:type="dxa"/>
              <w:bottom w:w="96" w:type="dxa"/>
              <w:right w:w="96" w:type="dxa"/>
            </w:tcMar>
            <w:vAlign w:val="center"/>
          </w:tcPr>
          <w:p w14:paraId="1DE675FE">
            <w:pPr>
              <w:widowControl/>
              <w:wordWrap/>
              <w:autoSpaceDE/>
              <w:autoSpaceDN/>
              <w:jc w:val="left"/>
              <w:rPr>
                <w:rFonts w:ascii="Times New Roman" w:hAnsi="Times New Roman" w:cs="Times New Roman"/>
                <w:sz w:val="21"/>
                <w:szCs w:val="21"/>
                <w:lang w:eastAsia="zh-CN"/>
              </w:rPr>
            </w:pPr>
            <w:r>
              <w:rPr>
                <w:rFonts w:hint="eastAsia" w:ascii="宋体" w:hAnsi="宋体" w:cs="Times New Roman"/>
                <w:kern w:val="0"/>
                <w:sz w:val="24"/>
                <w:szCs w:val="24"/>
                <w:lang w:eastAsia="zh-CN"/>
              </w:rPr>
              <w:t>否</w:t>
            </w:r>
          </w:p>
        </w:tc>
      </w:tr>
      <w:tr w14:paraId="4CB8A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0" w:type="auto"/>
            <w:tcMar>
              <w:top w:w="96" w:type="dxa"/>
              <w:left w:w="96" w:type="dxa"/>
              <w:bottom w:w="96" w:type="dxa"/>
              <w:right w:w="96" w:type="dxa"/>
            </w:tcMar>
            <w:vAlign w:val="center"/>
          </w:tcPr>
          <w:p w14:paraId="28FFA945">
            <w:pPr>
              <w:widowControl/>
              <w:wordWrap/>
              <w:autoSpaceDE/>
              <w:autoSpaceDN/>
              <w:jc w:val="left"/>
              <w:rPr>
                <w:rFonts w:ascii="Times New Roman" w:hAnsi="Times New Roman" w:cs="Times New Roman"/>
                <w:sz w:val="21"/>
                <w:szCs w:val="21"/>
                <w:lang w:eastAsia="zh-CN"/>
              </w:rPr>
            </w:pPr>
            <w:r>
              <w:rPr>
                <w:rFonts w:hint="eastAsia" w:ascii="宋体" w:hAnsi="宋体" w:cs="Times New Roman"/>
                <w:kern w:val="0"/>
                <w:sz w:val="24"/>
                <w:szCs w:val="24"/>
                <w:lang w:eastAsia="zh-CN"/>
              </w:rPr>
              <w:t>4</w:t>
            </w:r>
          </w:p>
        </w:tc>
        <w:tc>
          <w:tcPr>
            <w:tcW w:w="0" w:type="auto"/>
            <w:tcMar>
              <w:top w:w="96" w:type="dxa"/>
              <w:left w:w="96" w:type="dxa"/>
              <w:bottom w:w="96" w:type="dxa"/>
              <w:right w:w="96" w:type="dxa"/>
            </w:tcMar>
            <w:vAlign w:val="center"/>
          </w:tcPr>
          <w:p w14:paraId="1EA9D750">
            <w:pPr>
              <w:widowControl/>
              <w:wordWrap/>
              <w:autoSpaceDE/>
              <w:autoSpaceDN/>
              <w:jc w:val="left"/>
              <w:rPr>
                <w:rFonts w:ascii="Times New Roman" w:hAnsi="Times New Roman" w:cs="Times New Roman"/>
                <w:sz w:val="21"/>
                <w:szCs w:val="21"/>
                <w:lang w:eastAsia="zh-CN"/>
              </w:rPr>
            </w:pPr>
            <w:r>
              <w:rPr>
                <w:rFonts w:hint="eastAsia" w:ascii="宋体" w:hAnsi="宋体" w:cs="Times New Roman"/>
                <w:kern w:val="0"/>
                <w:sz w:val="24"/>
                <w:szCs w:val="24"/>
                <w:lang w:eastAsia="zh-CN"/>
              </w:rPr>
              <w:t>具备点云或网格的表面分析、体积测量、圆度和椭圆度计算等专业检测、三维色谱对比分析等专业工具；可获取体积、面积、长度等各种扫描对象的几何信息；具备从点云或模型中提取特征线、自定义角度的截面等功能；具备几何特征创建（最佳拟合、区域增长等）</w:t>
            </w:r>
          </w:p>
        </w:tc>
        <w:tc>
          <w:tcPr>
            <w:tcW w:w="2223" w:type="pct"/>
            <w:tcMar>
              <w:top w:w="96" w:type="dxa"/>
              <w:left w:w="96" w:type="dxa"/>
              <w:bottom w:w="96" w:type="dxa"/>
              <w:right w:w="96" w:type="dxa"/>
            </w:tcMar>
            <w:vAlign w:val="center"/>
          </w:tcPr>
          <w:p w14:paraId="3C6F4778">
            <w:pPr>
              <w:widowControl/>
              <w:wordWrap/>
              <w:autoSpaceDE/>
              <w:autoSpaceDN/>
              <w:jc w:val="left"/>
              <w:rPr>
                <w:rFonts w:ascii="Times New Roman" w:hAnsi="Times New Roman" w:cs="Times New Roman"/>
                <w:sz w:val="21"/>
                <w:szCs w:val="21"/>
                <w:lang w:eastAsia="zh-CN"/>
              </w:rPr>
            </w:pPr>
            <w:r>
              <w:rPr>
                <w:rFonts w:hint="eastAsia" w:ascii="宋体" w:hAnsi="宋体" w:cs="Times New Roman"/>
                <w:kern w:val="0"/>
                <w:sz w:val="24"/>
                <w:szCs w:val="24"/>
                <w:lang w:eastAsia="zh-CN"/>
              </w:rPr>
              <w:t>导入测试点云 / 网格数据，逐一测试表面分析、体积 / 面积 / 长度测量、圆度 / 椭圆度计算、三维色谱对比分析功能；测试特征线提取、自定义截面生成、几何特征创建（最佳拟合、区域增长）功能，所有工具运行正常，测量结果准确。</w:t>
            </w:r>
          </w:p>
        </w:tc>
        <w:tc>
          <w:tcPr>
            <w:tcW w:w="638" w:type="pct"/>
            <w:tcMar>
              <w:top w:w="96" w:type="dxa"/>
              <w:left w:w="96" w:type="dxa"/>
              <w:bottom w:w="96" w:type="dxa"/>
              <w:right w:w="96" w:type="dxa"/>
            </w:tcMar>
            <w:vAlign w:val="center"/>
          </w:tcPr>
          <w:p w14:paraId="3E1093B9">
            <w:pPr>
              <w:widowControl/>
              <w:wordWrap/>
              <w:autoSpaceDE/>
              <w:autoSpaceDN/>
              <w:jc w:val="left"/>
              <w:rPr>
                <w:rFonts w:ascii="Times New Roman" w:hAnsi="Times New Roman" w:cs="Times New Roman"/>
                <w:sz w:val="21"/>
                <w:szCs w:val="21"/>
                <w:lang w:eastAsia="zh-CN"/>
              </w:rPr>
            </w:pPr>
            <w:r>
              <w:rPr>
                <w:rFonts w:hint="eastAsia" w:ascii="宋体" w:hAnsi="宋体" w:cs="Times New Roman"/>
                <w:kern w:val="0"/>
                <w:sz w:val="24"/>
                <w:szCs w:val="24"/>
                <w:lang w:eastAsia="zh-CN"/>
              </w:rPr>
              <w:t>否</w:t>
            </w:r>
          </w:p>
        </w:tc>
      </w:tr>
      <w:tr w14:paraId="15D3E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0" w:type="auto"/>
            <w:tcMar>
              <w:top w:w="96" w:type="dxa"/>
              <w:left w:w="96" w:type="dxa"/>
              <w:bottom w:w="96" w:type="dxa"/>
              <w:right w:w="96" w:type="dxa"/>
            </w:tcMar>
            <w:vAlign w:val="center"/>
          </w:tcPr>
          <w:p w14:paraId="4FF2BD8B">
            <w:pPr>
              <w:widowControl/>
              <w:wordWrap/>
              <w:autoSpaceDE/>
              <w:autoSpaceDN/>
              <w:jc w:val="left"/>
              <w:rPr>
                <w:rFonts w:ascii="Times New Roman" w:hAnsi="Times New Roman" w:cs="Times New Roman"/>
                <w:sz w:val="21"/>
                <w:szCs w:val="21"/>
                <w:lang w:eastAsia="zh-CN"/>
              </w:rPr>
            </w:pPr>
            <w:r>
              <w:rPr>
                <w:rFonts w:hint="eastAsia" w:ascii="宋体" w:hAnsi="宋体" w:cs="Times New Roman"/>
                <w:kern w:val="0"/>
                <w:sz w:val="24"/>
                <w:szCs w:val="24"/>
                <w:lang w:eastAsia="zh-CN"/>
              </w:rPr>
              <w:t>5</w:t>
            </w:r>
          </w:p>
        </w:tc>
        <w:tc>
          <w:tcPr>
            <w:tcW w:w="0" w:type="auto"/>
            <w:tcMar>
              <w:top w:w="96" w:type="dxa"/>
              <w:left w:w="96" w:type="dxa"/>
              <w:bottom w:w="96" w:type="dxa"/>
              <w:right w:w="96" w:type="dxa"/>
            </w:tcMar>
            <w:vAlign w:val="center"/>
          </w:tcPr>
          <w:p w14:paraId="7361681E">
            <w:pPr>
              <w:widowControl/>
              <w:wordWrap/>
              <w:autoSpaceDE/>
              <w:autoSpaceDN/>
              <w:jc w:val="left"/>
              <w:rPr>
                <w:rFonts w:ascii="Times New Roman" w:hAnsi="Times New Roman" w:cs="Times New Roman"/>
                <w:sz w:val="21"/>
                <w:szCs w:val="21"/>
                <w:lang w:eastAsia="zh-CN"/>
              </w:rPr>
            </w:pPr>
            <w:r>
              <w:rPr>
                <w:rFonts w:hint="eastAsia" w:ascii="宋体" w:hAnsi="宋体" w:cs="Times New Roman"/>
                <w:kern w:val="0"/>
                <w:sz w:val="24"/>
                <w:szCs w:val="24"/>
                <w:lang w:eastAsia="zh-CN"/>
              </w:rPr>
              <w:t>具备支持 AutoCAD、Revit、Bentley、Navisworks 等第三方软件的接口插件，可在上述软件直接调用原始点云数据数据库进行处理、加工、呈现，支持三维坐标的实时传输进行绘图、3D 建模，并可通过图像进行 3D 绘图与建模</w:t>
            </w:r>
          </w:p>
        </w:tc>
        <w:tc>
          <w:tcPr>
            <w:tcW w:w="2223" w:type="pct"/>
            <w:tcMar>
              <w:top w:w="96" w:type="dxa"/>
              <w:left w:w="96" w:type="dxa"/>
              <w:bottom w:w="96" w:type="dxa"/>
              <w:right w:w="96" w:type="dxa"/>
            </w:tcMar>
            <w:vAlign w:val="center"/>
          </w:tcPr>
          <w:p w14:paraId="17992A0C">
            <w:pPr>
              <w:widowControl/>
              <w:wordWrap/>
              <w:autoSpaceDE/>
              <w:autoSpaceDN/>
              <w:jc w:val="left"/>
              <w:rPr>
                <w:rFonts w:ascii="Times New Roman" w:hAnsi="Times New Roman" w:cs="Times New Roman"/>
                <w:sz w:val="21"/>
                <w:szCs w:val="21"/>
                <w:lang w:eastAsia="zh-CN"/>
              </w:rPr>
            </w:pPr>
            <w:r>
              <w:rPr>
                <w:rFonts w:hint="eastAsia" w:ascii="宋体" w:hAnsi="宋体" w:cs="Times New Roman"/>
                <w:kern w:val="0"/>
                <w:sz w:val="24"/>
                <w:szCs w:val="24"/>
                <w:lang w:eastAsia="zh-CN"/>
              </w:rPr>
              <w:t>安装并测试软件与 AutoCAD、Revit、Bentley、Navisworks 的接口插件，确认可在上述第三方软件中直接调用点云数据库，实现点云处理、三维坐标传输、绘图、3D 建模功能；提供接口插件功能说明与兼容性证明文件。</w:t>
            </w:r>
          </w:p>
        </w:tc>
        <w:tc>
          <w:tcPr>
            <w:tcW w:w="638" w:type="pct"/>
            <w:tcMar>
              <w:top w:w="96" w:type="dxa"/>
              <w:left w:w="96" w:type="dxa"/>
              <w:bottom w:w="96" w:type="dxa"/>
              <w:right w:w="96" w:type="dxa"/>
            </w:tcMar>
            <w:vAlign w:val="center"/>
          </w:tcPr>
          <w:p w14:paraId="1399D0AC">
            <w:pPr>
              <w:widowControl/>
              <w:wordWrap/>
              <w:autoSpaceDE/>
              <w:autoSpaceDN/>
              <w:jc w:val="left"/>
              <w:rPr>
                <w:rFonts w:ascii="Times New Roman" w:hAnsi="Times New Roman" w:cs="Times New Roman"/>
                <w:sz w:val="21"/>
                <w:szCs w:val="21"/>
                <w:lang w:eastAsia="zh-CN"/>
              </w:rPr>
            </w:pPr>
            <w:r>
              <w:rPr>
                <w:rFonts w:hint="eastAsia" w:ascii="宋体" w:hAnsi="宋体" w:cs="Times New Roman"/>
                <w:kern w:val="0"/>
                <w:sz w:val="24"/>
                <w:szCs w:val="24"/>
                <w:lang w:eastAsia="zh-CN"/>
              </w:rPr>
              <w:t>是</w:t>
            </w:r>
          </w:p>
        </w:tc>
      </w:tr>
      <w:tr w14:paraId="4D230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0" w:type="auto"/>
            <w:tcMar>
              <w:top w:w="96" w:type="dxa"/>
              <w:left w:w="96" w:type="dxa"/>
              <w:bottom w:w="96" w:type="dxa"/>
              <w:right w:w="96" w:type="dxa"/>
            </w:tcMar>
            <w:vAlign w:val="center"/>
          </w:tcPr>
          <w:p w14:paraId="373E3B1D">
            <w:pPr>
              <w:widowControl/>
              <w:wordWrap/>
              <w:autoSpaceDE/>
              <w:autoSpaceDN/>
              <w:jc w:val="left"/>
              <w:rPr>
                <w:rFonts w:ascii="Times New Roman" w:hAnsi="Times New Roman" w:cs="Times New Roman"/>
                <w:sz w:val="21"/>
                <w:szCs w:val="21"/>
                <w:lang w:eastAsia="zh-CN"/>
              </w:rPr>
            </w:pPr>
            <w:r>
              <w:rPr>
                <w:rFonts w:hint="eastAsia" w:ascii="宋体" w:hAnsi="宋体" w:cs="Times New Roman"/>
                <w:kern w:val="0"/>
                <w:sz w:val="24"/>
                <w:szCs w:val="24"/>
                <w:lang w:eastAsia="zh-CN"/>
              </w:rPr>
              <w:t>6</w:t>
            </w:r>
          </w:p>
        </w:tc>
        <w:tc>
          <w:tcPr>
            <w:tcW w:w="0" w:type="auto"/>
            <w:tcMar>
              <w:top w:w="96" w:type="dxa"/>
              <w:left w:w="96" w:type="dxa"/>
              <w:bottom w:w="96" w:type="dxa"/>
              <w:right w:w="96" w:type="dxa"/>
            </w:tcMar>
            <w:vAlign w:val="center"/>
          </w:tcPr>
          <w:p w14:paraId="36D8180C">
            <w:pPr>
              <w:widowControl/>
              <w:wordWrap/>
              <w:autoSpaceDE/>
              <w:autoSpaceDN/>
              <w:jc w:val="left"/>
              <w:rPr>
                <w:rFonts w:ascii="Times New Roman" w:hAnsi="Times New Roman" w:cs="Times New Roman"/>
                <w:sz w:val="21"/>
                <w:szCs w:val="21"/>
                <w:lang w:eastAsia="zh-CN"/>
              </w:rPr>
            </w:pPr>
            <w:r>
              <w:rPr>
                <w:rFonts w:hint="eastAsia" w:ascii="宋体" w:hAnsi="宋体" w:cs="Times New Roman"/>
                <w:kern w:val="0"/>
                <w:sz w:val="24"/>
                <w:szCs w:val="24"/>
                <w:lang w:eastAsia="zh-CN"/>
              </w:rPr>
              <w:t>具备自动点云分类功能；具备点云智能过滤和点云去噪功能，可实现移动对象检测，针对地面点、墙壁和地板的智能过滤功能，简化复杂的点云去噪和分割功能；提供基于机器学习的点云分类功能，支持最少 100 个类别的点云分类项，包括植被、道路、铁路、桥梁等</w:t>
            </w:r>
          </w:p>
        </w:tc>
        <w:tc>
          <w:tcPr>
            <w:tcW w:w="2223" w:type="pct"/>
            <w:tcMar>
              <w:top w:w="96" w:type="dxa"/>
              <w:left w:w="96" w:type="dxa"/>
              <w:bottom w:w="96" w:type="dxa"/>
              <w:right w:w="96" w:type="dxa"/>
            </w:tcMar>
            <w:vAlign w:val="center"/>
          </w:tcPr>
          <w:p w14:paraId="3D23E891">
            <w:pPr>
              <w:widowControl/>
              <w:wordWrap/>
              <w:autoSpaceDE/>
              <w:autoSpaceDN/>
              <w:jc w:val="left"/>
              <w:rPr>
                <w:rFonts w:ascii="Times New Roman" w:hAnsi="Times New Roman" w:cs="Times New Roman"/>
                <w:sz w:val="21"/>
                <w:szCs w:val="21"/>
                <w:lang w:eastAsia="zh-CN"/>
              </w:rPr>
            </w:pPr>
            <w:r>
              <w:rPr>
                <w:rFonts w:hint="eastAsia" w:ascii="宋体" w:hAnsi="宋体" w:cs="Times New Roman"/>
                <w:kern w:val="0"/>
                <w:sz w:val="24"/>
                <w:szCs w:val="24"/>
                <w:lang w:eastAsia="zh-CN"/>
              </w:rPr>
              <w:t>导入含噪声、多类别的点云数据，测试自动点云分类、智能过滤、去噪、移动对象检测功能，确认可实现地面 / 墙壁 / 地板点云智能过滤；核查软件点云分类类别清单，确认支持不少于 100 个分类项，包含植被、道路、铁路、桥梁等；提供功能测试报告或机器学习分类能力证明。</w:t>
            </w:r>
          </w:p>
        </w:tc>
        <w:tc>
          <w:tcPr>
            <w:tcW w:w="638" w:type="pct"/>
            <w:tcMar>
              <w:top w:w="96" w:type="dxa"/>
              <w:left w:w="96" w:type="dxa"/>
              <w:bottom w:w="96" w:type="dxa"/>
              <w:right w:w="96" w:type="dxa"/>
            </w:tcMar>
            <w:vAlign w:val="center"/>
          </w:tcPr>
          <w:p w14:paraId="120E1E9A">
            <w:pPr>
              <w:widowControl/>
              <w:wordWrap/>
              <w:autoSpaceDE/>
              <w:autoSpaceDN/>
              <w:jc w:val="left"/>
              <w:rPr>
                <w:rFonts w:ascii="Times New Roman" w:hAnsi="Times New Roman" w:cs="Times New Roman"/>
                <w:sz w:val="21"/>
                <w:szCs w:val="21"/>
                <w:lang w:eastAsia="zh-CN"/>
              </w:rPr>
            </w:pPr>
            <w:r>
              <w:rPr>
                <w:rFonts w:hint="eastAsia" w:ascii="宋体" w:hAnsi="宋体" w:cs="Times New Roman"/>
                <w:kern w:val="0"/>
                <w:sz w:val="24"/>
                <w:szCs w:val="24"/>
                <w:lang w:eastAsia="zh-CN"/>
              </w:rPr>
              <w:t>是</w:t>
            </w:r>
          </w:p>
        </w:tc>
      </w:tr>
      <w:tr w14:paraId="6A4C8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0" w:type="auto"/>
            <w:tcMar>
              <w:top w:w="96" w:type="dxa"/>
              <w:left w:w="96" w:type="dxa"/>
              <w:bottom w:w="96" w:type="dxa"/>
              <w:right w:w="96" w:type="dxa"/>
            </w:tcMar>
            <w:vAlign w:val="center"/>
          </w:tcPr>
          <w:p w14:paraId="3C3FE799">
            <w:pPr>
              <w:widowControl/>
              <w:wordWrap/>
              <w:autoSpaceDE/>
              <w:autoSpaceDN/>
              <w:jc w:val="left"/>
              <w:rPr>
                <w:rFonts w:ascii="Times New Roman" w:hAnsi="Times New Roman" w:cs="Times New Roman"/>
                <w:sz w:val="21"/>
                <w:szCs w:val="21"/>
                <w:lang w:eastAsia="zh-CN"/>
              </w:rPr>
            </w:pPr>
            <w:r>
              <w:rPr>
                <w:rFonts w:hint="eastAsia" w:ascii="宋体" w:hAnsi="宋体" w:cs="Times New Roman"/>
                <w:kern w:val="0"/>
                <w:sz w:val="24"/>
                <w:szCs w:val="24"/>
                <w:lang w:eastAsia="zh-CN"/>
              </w:rPr>
              <w:t>7</w:t>
            </w:r>
          </w:p>
        </w:tc>
        <w:tc>
          <w:tcPr>
            <w:tcW w:w="0" w:type="auto"/>
            <w:tcMar>
              <w:top w:w="96" w:type="dxa"/>
              <w:left w:w="96" w:type="dxa"/>
              <w:bottom w:w="96" w:type="dxa"/>
              <w:right w:w="96" w:type="dxa"/>
            </w:tcMar>
            <w:vAlign w:val="center"/>
          </w:tcPr>
          <w:p w14:paraId="4933C4B4">
            <w:pPr>
              <w:widowControl/>
              <w:wordWrap/>
              <w:autoSpaceDE/>
              <w:autoSpaceDN/>
              <w:jc w:val="left"/>
              <w:rPr>
                <w:rFonts w:ascii="Times New Roman" w:hAnsi="Times New Roman" w:cs="Times New Roman"/>
                <w:sz w:val="21"/>
                <w:szCs w:val="21"/>
                <w:lang w:eastAsia="zh-CN"/>
              </w:rPr>
            </w:pPr>
            <w:r>
              <w:rPr>
                <w:rFonts w:hint="eastAsia" w:ascii="宋体" w:hAnsi="宋体" w:cs="Times New Roman"/>
                <w:kern w:val="0"/>
                <w:sz w:val="24"/>
                <w:szCs w:val="24"/>
                <w:lang w:eastAsia="zh-CN"/>
              </w:rPr>
              <w:t>具备纹理映射功能，可实现图像到三维网格的纹理贴图</w:t>
            </w:r>
          </w:p>
        </w:tc>
        <w:tc>
          <w:tcPr>
            <w:tcW w:w="2223" w:type="pct"/>
            <w:tcMar>
              <w:top w:w="96" w:type="dxa"/>
              <w:left w:w="96" w:type="dxa"/>
              <w:bottom w:w="96" w:type="dxa"/>
              <w:right w:w="96" w:type="dxa"/>
            </w:tcMar>
            <w:vAlign w:val="center"/>
          </w:tcPr>
          <w:p w14:paraId="4E2E64EF">
            <w:pPr>
              <w:widowControl/>
              <w:wordWrap/>
              <w:autoSpaceDE/>
              <w:autoSpaceDN/>
              <w:jc w:val="left"/>
              <w:rPr>
                <w:rFonts w:ascii="Times New Roman" w:hAnsi="Times New Roman" w:cs="Times New Roman"/>
                <w:sz w:val="21"/>
                <w:szCs w:val="21"/>
                <w:lang w:eastAsia="zh-CN"/>
              </w:rPr>
            </w:pPr>
            <w:r>
              <w:rPr>
                <w:rFonts w:hint="eastAsia" w:ascii="宋体" w:hAnsi="宋体" w:cs="Times New Roman"/>
                <w:kern w:val="0"/>
                <w:sz w:val="24"/>
                <w:szCs w:val="24"/>
                <w:lang w:eastAsia="zh-CN"/>
              </w:rPr>
              <w:t>导入点云数据与对应图像数据，测试软件纹理映射功能，确认可将图像数据映射到三维网格模型上，生成带纹理的三维模型，效果清晰、映射准确。</w:t>
            </w:r>
          </w:p>
        </w:tc>
        <w:tc>
          <w:tcPr>
            <w:tcW w:w="638" w:type="pct"/>
            <w:tcMar>
              <w:top w:w="96" w:type="dxa"/>
              <w:left w:w="96" w:type="dxa"/>
              <w:bottom w:w="96" w:type="dxa"/>
              <w:right w:w="96" w:type="dxa"/>
            </w:tcMar>
            <w:vAlign w:val="center"/>
          </w:tcPr>
          <w:p w14:paraId="25AC7A87">
            <w:pPr>
              <w:widowControl/>
              <w:wordWrap/>
              <w:autoSpaceDE/>
              <w:autoSpaceDN/>
              <w:jc w:val="left"/>
              <w:rPr>
                <w:rFonts w:ascii="Times New Roman" w:hAnsi="Times New Roman" w:cs="Times New Roman"/>
                <w:sz w:val="21"/>
                <w:szCs w:val="21"/>
                <w:lang w:eastAsia="zh-CN"/>
              </w:rPr>
            </w:pPr>
            <w:r>
              <w:rPr>
                <w:rFonts w:hint="eastAsia" w:ascii="宋体" w:hAnsi="宋体" w:cs="Times New Roman"/>
                <w:kern w:val="0"/>
                <w:sz w:val="24"/>
                <w:szCs w:val="24"/>
                <w:lang w:eastAsia="zh-CN"/>
              </w:rPr>
              <w:t>否</w:t>
            </w:r>
          </w:p>
        </w:tc>
      </w:tr>
      <w:tr w14:paraId="64DE5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0" w:type="auto"/>
            <w:tcMar>
              <w:top w:w="96" w:type="dxa"/>
              <w:left w:w="96" w:type="dxa"/>
              <w:bottom w:w="96" w:type="dxa"/>
              <w:right w:w="96" w:type="dxa"/>
            </w:tcMar>
            <w:vAlign w:val="center"/>
          </w:tcPr>
          <w:p w14:paraId="45E936FB">
            <w:pPr>
              <w:widowControl/>
              <w:wordWrap/>
              <w:autoSpaceDE/>
              <w:autoSpaceDN/>
              <w:jc w:val="left"/>
              <w:rPr>
                <w:rFonts w:ascii="Times New Roman" w:hAnsi="Times New Roman" w:cs="Times New Roman"/>
                <w:sz w:val="21"/>
                <w:szCs w:val="21"/>
                <w:lang w:eastAsia="zh-CN"/>
              </w:rPr>
            </w:pPr>
            <w:r>
              <w:rPr>
                <w:rFonts w:hint="eastAsia" w:ascii="宋体" w:hAnsi="宋体" w:cs="Times New Roman"/>
                <w:kern w:val="0"/>
                <w:sz w:val="24"/>
                <w:szCs w:val="24"/>
                <w:lang w:eastAsia="zh-CN"/>
              </w:rPr>
              <w:t>8</w:t>
            </w:r>
          </w:p>
        </w:tc>
        <w:tc>
          <w:tcPr>
            <w:tcW w:w="0" w:type="auto"/>
            <w:tcMar>
              <w:top w:w="96" w:type="dxa"/>
              <w:left w:w="96" w:type="dxa"/>
              <w:bottom w:w="96" w:type="dxa"/>
              <w:right w:w="96" w:type="dxa"/>
            </w:tcMar>
            <w:vAlign w:val="center"/>
          </w:tcPr>
          <w:p w14:paraId="793308F6">
            <w:pPr>
              <w:widowControl/>
              <w:wordWrap/>
              <w:autoSpaceDE/>
              <w:autoSpaceDN/>
              <w:jc w:val="left"/>
              <w:rPr>
                <w:rFonts w:ascii="Times New Roman" w:hAnsi="Times New Roman" w:cs="Times New Roman"/>
                <w:sz w:val="21"/>
                <w:szCs w:val="21"/>
                <w:lang w:eastAsia="zh-CN"/>
              </w:rPr>
            </w:pPr>
            <w:r>
              <w:rPr>
                <w:rFonts w:hint="eastAsia" w:ascii="宋体" w:hAnsi="宋体" w:cs="Times New Roman"/>
                <w:kern w:val="0"/>
                <w:sz w:val="24"/>
                <w:szCs w:val="24"/>
                <w:lang w:eastAsia="zh-CN"/>
              </w:rPr>
              <w:t>可满足对 10 亿级点云管理的需求，支持至少 10 个数据组，软件处理流畅；提供至少 2 个数据库共享接口</w:t>
            </w:r>
          </w:p>
        </w:tc>
        <w:tc>
          <w:tcPr>
            <w:tcW w:w="2223" w:type="pct"/>
            <w:tcMar>
              <w:top w:w="96" w:type="dxa"/>
              <w:left w:w="96" w:type="dxa"/>
              <w:bottom w:w="96" w:type="dxa"/>
              <w:right w:w="96" w:type="dxa"/>
            </w:tcMar>
            <w:vAlign w:val="center"/>
          </w:tcPr>
          <w:p w14:paraId="2B8B82DC">
            <w:pPr>
              <w:widowControl/>
              <w:wordWrap/>
              <w:autoSpaceDE/>
              <w:autoSpaceDN/>
              <w:jc w:val="left"/>
              <w:rPr>
                <w:rFonts w:ascii="Times New Roman" w:hAnsi="Times New Roman" w:cs="Times New Roman"/>
                <w:sz w:val="21"/>
                <w:szCs w:val="21"/>
                <w:lang w:eastAsia="zh-CN"/>
              </w:rPr>
            </w:pPr>
            <w:r>
              <w:rPr>
                <w:rFonts w:hint="eastAsia" w:ascii="宋体" w:hAnsi="宋体" w:cs="Times New Roman"/>
                <w:kern w:val="0"/>
                <w:sz w:val="24"/>
                <w:szCs w:val="24"/>
                <w:lang w:eastAsia="zh-CN"/>
              </w:rPr>
              <w:t>导入 10 亿级点云数据，创建不少于 10 个数据组，测试软件运行流畅性，无卡顿、崩溃现象；核查软件数据库配置，确认提供不少于 2 个数据库共享接口；提供大数据处理能力测试报告。</w:t>
            </w:r>
          </w:p>
        </w:tc>
        <w:tc>
          <w:tcPr>
            <w:tcW w:w="638" w:type="pct"/>
            <w:tcMar>
              <w:top w:w="96" w:type="dxa"/>
              <w:left w:w="96" w:type="dxa"/>
              <w:bottom w:w="96" w:type="dxa"/>
              <w:right w:w="96" w:type="dxa"/>
            </w:tcMar>
            <w:vAlign w:val="center"/>
          </w:tcPr>
          <w:p w14:paraId="289F8C0A">
            <w:pPr>
              <w:widowControl/>
              <w:wordWrap/>
              <w:autoSpaceDE/>
              <w:autoSpaceDN/>
              <w:jc w:val="left"/>
              <w:rPr>
                <w:rFonts w:ascii="Times New Roman" w:hAnsi="Times New Roman" w:cs="Times New Roman"/>
                <w:sz w:val="21"/>
                <w:szCs w:val="21"/>
                <w:lang w:eastAsia="zh-CN"/>
              </w:rPr>
            </w:pPr>
            <w:r>
              <w:rPr>
                <w:rFonts w:hint="eastAsia" w:ascii="宋体" w:hAnsi="宋体" w:cs="Times New Roman"/>
                <w:kern w:val="0"/>
                <w:sz w:val="24"/>
                <w:szCs w:val="24"/>
                <w:lang w:eastAsia="zh-CN"/>
              </w:rPr>
              <w:t>是</w:t>
            </w:r>
          </w:p>
        </w:tc>
      </w:tr>
      <w:tr w14:paraId="5F986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0" w:type="auto"/>
            <w:tcMar>
              <w:top w:w="96" w:type="dxa"/>
              <w:left w:w="96" w:type="dxa"/>
              <w:bottom w:w="96" w:type="dxa"/>
              <w:right w:w="96" w:type="dxa"/>
            </w:tcMar>
            <w:vAlign w:val="center"/>
          </w:tcPr>
          <w:p w14:paraId="092E68F8">
            <w:pPr>
              <w:widowControl/>
              <w:wordWrap/>
              <w:autoSpaceDE/>
              <w:autoSpaceDN/>
              <w:jc w:val="left"/>
              <w:rPr>
                <w:rFonts w:ascii="Times New Roman" w:hAnsi="Times New Roman" w:cs="Times New Roman"/>
                <w:sz w:val="21"/>
                <w:szCs w:val="21"/>
                <w:lang w:eastAsia="zh-CN"/>
              </w:rPr>
            </w:pPr>
            <w:r>
              <w:rPr>
                <w:rFonts w:hint="eastAsia" w:ascii="宋体" w:hAnsi="宋体" w:cs="Times New Roman"/>
                <w:kern w:val="0"/>
                <w:sz w:val="24"/>
                <w:szCs w:val="24"/>
                <w:lang w:eastAsia="zh-CN"/>
              </w:rPr>
              <w:t>9</w:t>
            </w:r>
          </w:p>
        </w:tc>
        <w:tc>
          <w:tcPr>
            <w:tcW w:w="0" w:type="auto"/>
            <w:tcMar>
              <w:top w:w="96" w:type="dxa"/>
              <w:left w:w="96" w:type="dxa"/>
              <w:bottom w:w="96" w:type="dxa"/>
              <w:right w:w="96" w:type="dxa"/>
            </w:tcMar>
            <w:vAlign w:val="center"/>
          </w:tcPr>
          <w:p w14:paraId="35363048">
            <w:pPr>
              <w:widowControl/>
              <w:wordWrap/>
              <w:autoSpaceDE/>
              <w:autoSpaceDN/>
              <w:jc w:val="left"/>
              <w:rPr>
                <w:rFonts w:ascii="Times New Roman" w:hAnsi="Times New Roman" w:cs="Times New Roman"/>
                <w:sz w:val="21"/>
                <w:szCs w:val="21"/>
                <w:lang w:eastAsia="zh-CN"/>
              </w:rPr>
            </w:pPr>
            <w:r>
              <w:rPr>
                <w:rFonts w:hint="eastAsia" w:ascii="宋体" w:hAnsi="宋体" w:cs="Times New Roman"/>
                <w:kern w:val="0"/>
                <w:sz w:val="24"/>
                <w:szCs w:val="24"/>
                <w:lang w:eastAsia="zh-CN"/>
              </w:rPr>
              <w:t>点云数据可发布为网页，支持数据加密访问、共享，用户无需安装任何软件，通过任意一台手机、平板、电脑，用网页浏览器即可实现在线数据查看及编辑，可通过管理员进行用户和访问门户管理、权限设置，具备数据批量上传和断点续传功能，并且支持多人同时访问</w:t>
            </w:r>
          </w:p>
        </w:tc>
        <w:tc>
          <w:tcPr>
            <w:tcW w:w="2223" w:type="pct"/>
            <w:tcMar>
              <w:top w:w="96" w:type="dxa"/>
              <w:left w:w="96" w:type="dxa"/>
              <w:bottom w:w="96" w:type="dxa"/>
              <w:right w:w="96" w:type="dxa"/>
            </w:tcMar>
            <w:vAlign w:val="center"/>
          </w:tcPr>
          <w:p w14:paraId="331E177D">
            <w:pPr>
              <w:widowControl/>
              <w:wordWrap/>
              <w:autoSpaceDE/>
              <w:autoSpaceDN/>
              <w:jc w:val="left"/>
              <w:rPr>
                <w:rFonts w:ascii="Times New Roman" w:hAnsi="Times New Roman" w:cs="Times New Roman"/>
                <w:sz w:val="21"/>
                <w:szCs w:val="21"/>
                <w:lang w:eastAsia="zh-CN"/>
              </w:rPr>
            </w:pPr>
            <w:r>
              <w:rPr>
                <w:rFonts w:hint="eastAsia" w:ascii="宋体" w:hAnsi="宋体" w:cs="Times New Roman"/>
                <w:kern w:val="0"/>
                <w:sz w:val="24"/>
                <w:szCs w:val="24"/>
                <w:lang w:eastAsia="zh-CN"/>
              </w:rPr>
              <w:t>现场将点云数据发布为网页形式，测试加密访问、用户权限管理、批量上传、断点续传功能；使用手机、平板、电脑等不同终端，通过浏览器访问发布的点云数据，测试在线查看、编辑功能，确认多人同时访问时系统运行正常，无异常。</w:t>
            </w:r>
          </w:p>
        </w:tc>
        <w:tc>
          <w:tcPr>
            <w:tcW w:w="638" w:type="pct"/>
            <w:tcMar>
              <w:top w:w="96" w:type="dxa"/>
              <w:left w:w="96" w:type="dxa"/>
              <w:bottom w:w="96" w:type="dxa"/>
              <w:right w:w="96" w:type="dxa"/>
            </w:tcMar>
            <w:vAlign w:val="center"/>
          </w:tcPr>
          <w:p w14:paraId="75E95685">
            <w:pPr>
              <w:widowControl/>
              <w:wordWrap/>
              <w:autoSpaceDE/>
              <w:autoSpaceDN/>
              <w:jc w:val="left"/>
              <w:rPr>
                <w:rFonts w:ascii="Times New Roman" w:hAnsi="Times New Roman" w:cs="Times New Roman"/>
                <w:sz w:val="21"/>
                <w:szCs w:val="21"/>
                <w:lang w:eastAsia="zh-CN"/>
              </w:rPr>
            </w:pPr>
            <w:r>
              <w:rPr>
                <w:rFonts w:hint="eastAsia" w:ascii="宋体" w:hAnsi="宋体" w:cs="Times New Roman"/>
                <w:kern w:val="0"/>
                <w:sz w:val="24"/>
                <w:szCs w:val="24"/>
                <w:lang w:eastAsia="zh-CN"/>
              </w:rPr>
              <w:t>否</w:t>
            </w:r>
          </w:p>
        </w:tc>
      </w:tr>
      <w:tr w14:paraId="0FB78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0" w:type="auto"/>
            <w:tcMar>
              <w:top w:w="96" w:type="dxa"/>
              <w:left w:w="96" w:type="dxa"/>
              <w:bottom w:w="96" w:type="dxa"/>
              <w:right w:w="96" w:type="dxa"/>
            </w:tcMar>
            <w:vAlign w:val="center"/>
          </w:tcPr>
          <w:p w14:paraId="7EE6894A">
            <w:pPr>
              <w:widowControl/>
              <w:wordWrap/>
              <w:autoSpaceDE/>
              <w:autoSpaceDN/>
              <w:jc w:val="left"/>
              <w:rPr>
                <w:rFonts w:ascii="Times New Roman" w:hAnsi="Times New Roman" w:cs="Times New Roman"/>
                <w:sz w:val="21"/>
                <w:szCs w:val="21"/>
                <w:lang w:eastAsia="zh-CN"/>
              </w:rPr>
            </w:pPr>
            <w:r>
              <w:rPr>
                <w:rFonts w:hint="eastAsia" w:ascii="宋体" w:hAnsi="宋体" w:cs="Times New Roman"/>
                <w:kern w:val="0"/>
                <w:sz w:val="24"/>
                <w:szCs w:val="24"/>
                <w:lang w:eastAsia="zh-CN"/>
              </w:rPr>
              <w:t>10</w:t>
            </w:r>
          </w:p>
        </w:tc>
        <w:tc>
          <w:tcPr>
            <w:tcW w:w="0" w:type="auto"/>
            <w:tcMar>
              <w:top w:w="96" w:type="dxa"/>
              <w:left w:w="96" w:type="dxa"/>
              <w:bottom w:w="96" w:type="dxa"/>
              <w:right w:w="96" w:type="dxa"/>
            </w:tcMar>
            <w:vAlign w:val="center"/>
          </w:tcPr>
          <w:p w14:paraId="579C1C2C">
            <w:pPr>
              <w:widowControl/>
              <w:wordWrap/>
              <w:autoSpaceDE/>
              <w:autoSpaceDN/>
              <w:jc w:val="left"/>
              <w:rPr>
                <w:rFonts w:ascii="Times New Roman" w:hAnsi="Times New Roman" w:cs="Times New Roman"/>
                <w:sz w:val="21"/>
                <w:szCs w:val="21"/>
                <w:lang w:eastAsia="zh-CN"/>
              </w:rPr>
            </w:pPr>
            <w:r>
              <w:rPr>
                <w:rFonts w:hint="eastAsia" w:ascii="宋体" w:hAnsi="宋体" w:cs="Times New Roman"/>
                <w:kern w:val="0"/>
                <w:sz w:val="24"/>
                <w:szCs w:val="24"/>
                <w:lang w:eastAsia="zh-CN"/>
              </w:rPr>
              <w:t>具备逆向工程工作流（网格到 CAD）和导出到 IGES/STEP，具备 AEC（建筑和隧道）CAD 格式导入（DWG/IFC 和 Revit）和 AEC（建筑和隧道）专用清洁工具</w:t>
            </w:r>
          </w:p>
        </w:tc>
        <w:tc>
          <w:tcPr>
            <w:tcW w:w="2223" w:type="pct"/>
            <w:tcMar>
              <w:top w:w="96" w:type="dxa"/>
              <w:left w:w="96" w:type="dxa"/>
              <w:bottom w:w="96" w:type="dxa"/>
              <w:right w:w="96" w:type="dxa"/>
            </w:tcMar>
            <w:vAlign w:val="center"/>
          </w:tcPr>
          <w:p w14:paraId="41FCEA08">
            <w:pPr>
              <w:widowControl/>
              <w:wordWrap/>
              <w:autoSpaceDE/>
              <w:autoSpaceDN/>
              <w:jc w:val="left"/>
              <w:rPr>
                <w:rFonts w:ascii="Times New Roman" w:hAnsi="Times New Roman" w:cs="Times New Roman"/>
                <w:sz w:val="21"/>
                <w:szCs w:val="21"/>
                <w:lang w:eastAsia="zh-CN"/>
              </w:rPr>
            </w:pPr>
            <w:r>
              <w:rPr>
                <w:rFonts w:hint="eastAsia" w:ascii="宋体" w:hAnsi="宋体" w:cs="Times New Roman"/>
                <w:kern w:val="0"/>
                <w:sz w:val="24"/>
                <w:szCs w:val="24"/>
                <w:lang w:eastAsia="zh-CN"/>
              </w:rPr>
              <w:t>测试软件逆向工程工作流，确认可实现点云网格到 CAD 格式的转换，支持导出为 IGES/STEP 格式；导入 DWG/IFC/Revit 格式的建筑、隧道 CAD 数据，测试专用清洁工具功能，运行正常，数据处理结果准确。</w:t>
            </w:r>
          </w:p>
        </w:tc>
        <w:tc>
          <w:tcPr>
            <w:tcW w:w="638" w:type="pct"/>
            <w:tcMar>
              <w:top w:w="96" w:type="dxa"/>
              <w:left w:w="96" w:type="dxa"/>
              <w:bottom w:w="96" w:type="dxa"/>
              <w:right w:w="96" w:type="dxa"/>
            </w:tcMar>
            <w:vAlign w:val="center"/>
          </w:tcPr>
          <w:p w14:paraId="557B3650">
            <w:pPr>
              <w:widowControl/>
              <w:wordWrap/>
              <w:autoSpaceDE/>
              <w:autoSpaceDN/>
              <w:jc w:val="left"/>
              <w:rPr>
                <w:rFonts w:ascii="Times New Roman" w:hAnsi="Times New Roman" w:cs="Times New Roman"/>
                <w:sz w:val="21"/>
                <w:szCs w:val="21"/>
                <w:lang w:eastAsia="zh-CN"/>
              </w:rPr>
            </w:pPr>
            <w:r>
              <w:rPr>
                <w:rFonts w:hint="eastAsia" w:ascii="宋体" w:hAnsi="宋体" w:cs="Times New Roman"/>
                <w:kern w:val="0"/>
                <w:sz w:val="24"/>
                <w:szCs w:val="24"/>
                <w:lang w:eastAsia="zh-CN"/>
              </w:rPr>
              <w:t>否</w:t>
            </w:r>
          </w:p>
        </w:tc>
      </w:tr>
      <w:tr w14:paraId="68D3D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0" w:type="auto"/>
            <w:tcMar>
              <w:top w:w="96" w:type="dxa"/>
              <w:left w:w="96" w:type="dxa"/>
              <w:bottom w:w="96" w:type="dxa"/>
              <w:right w:w="96" w:type="dxa"/>
            </w:tcMar>
            <w:vAlign w:val="center"/>
          </w:tcPr>
          <w:p w14:paraId="3D321461">
            <w:pPr>
              <w:widowControl/>
              <w:wordWrap/>
              <w:autoSpaceDE/>
              <w:autoSpaceDN/>
              <w:jc w:val="left"/>
              <w:rPr>
                <w:rFonts w:ascii="Times New Roman" w:hAnsi="Times New Roman" w:cs="Times New Roman"/>
                <w:sz w:val="21"/>
                <w:szCs w:val="21"/>
                <w:lang w:eastAsia="zh-CN"/>
              </w:rPr>
            </w:pPr>
            <w:r>
              <w:rPr>
                <w:rFonts w:hint="eastAsia" w:ascii="宋体" w:hAnsi="宋体" w:cs="Times New Roman"/>
                <w:kern w:val="0"/>
                <w:sz w:val="24"/>
                <w:szCs w:val="24"/>
                <w:lang w:eastAsia="zh-CN"/>
              </w:rPr>
              <w:t>11</w:t>
            </w:r>
          </w:p>
        </w:tc>
        <w:tc>
          <w:tcPr>
            <w:tcW w:w="0" w:type="auto"/>
            <w:tcMar>
              <w:top w:w="96" w:type="dxa"/>
              <w:left w:w="96" w:type="dxa"/>
              <w:bottom w:w="96" w:type="dxa"/>
              <w:right w:w="96" w:type="dxa"/>
            </w:tcMar>
            <w:vAlign w:val="center"/>
          </w:tcPr>
          <w:p w14:paraId="3AC344B3">
            <w:pPr>
              <w:widowControl/>
              <w:wordWrap/>
              <w:autoSpaceDE/>
              <w:autoSpaceDN/>
              <w:jc w:val="left"/>
              <w:rPr>
                <w:rFonts w:ascii="Times New Roman" w:hAnsi="Times New Roman" w:cs="Times New Roman"/>
                <w:sz w:val="21"/>
                <w:szCs w:val="21"/>
                <w:lang w:eastAsia="zh-CN"/>
              </w:rPr>
            </w:pPr>
            <w:r>
              <w:rPr>
                <w:rFonts w:hint="eastAsia" w:ascii="宋体" w:hAnsi="宋体" w:cs="Times New Roman"/>
                <w:kern w:val="0"/>
                <w:sz w:val="24"/>
                <w:szCs w:val="24"/>
                <w:lang w:eastAsia="zh-CN"/>
              </w:rPr>
              <w:t>点云后处理软件同数据采集设备为同一厂商，不需要借助其他第三方软件，就能完成三维数据提取、处理、加工、呈现</w:t>
            </w:r>
          </w:p>
        </w:tc>
        <w:tc>
          <w:tcPr>
            <w:tcW w:w="2223" w:type="pct"/>
            <w:tcMar>
              <w:top w:w="96" w:type="dxa"/>
              <w:left w:w="96" w:type="dxa"/>
              <w:bottom w:w="96" w:type="dxa"/>
              <w:right w:w="96" w:type="dxa"/>
            </w:tcMar>
            <w:vAlign w:val="center"/>
          </w:tcPr>
          <w:p w14:paraId="2E7B5338">
            <w:pPr>
              <w:widowControl/>
              <w:wordWrap/>
              <w:autoSpaceDE/>
              <w:autoSpaceDN/>
              <w:jc w:val="left"/>
              <w:rPr>
                <w:rFonts w:ascii="Times New Roman" w:hAnsi="Times New Roman" w:cs="Times New Roman"/>
                <w:sz w:val="21"/>
                <w:szCs w:val="21"/>
                <w:lang w:eastAsia="zh-CN"/>
              </w:rPr>
            </w:pPr>
            <w:r>
              <w:rPr>
                <w:rFonts w:hint="eastAsia" w:ascii="宋体" w:hAnsi="宋体" w:cs="Times New Roman"/>
                <w:kern w:val="0"/>
                <w:sz w:val="24"/>
                <w:szCs w:val="24"/>
                <w:lang w:eastAsia="zh-CN"/>
              </w:rPr>
              <w:t>核查软件与设备的厂商信息，确认为同一品牌 / 同一厂商产品；测试从点云采集、数据导入到处理、建模、成果输出的全流程，确认无需依赖第三方软件即可完成完整的三维数据提取、处理、加工、呈现工作。</w:t>
            </w:r>
          </w:p>
        </w:tc>
        <w:tc>
          <w:tcPr>
            <w:tcW w:w="638" w:type="pct"/>
            <w:tcMar>
              <w:top w:w="96" w:type="dxa"/>
              <w:left w:w="96" w:type="dxa"/>
              <w:bottom w:w="96" w:type="dxa"/>
              <w:right w:w="96" w:type="dxa"/>
            </w:tcMar>
            <w:vAlign w:val="center"/>
          </w:tcPr>
          <w:p w14:paraId="59AB05AA">
            <w:pPr>
              <w:widowControl/>
              <w:wordWrap/>
              <w:autoSpaceDE/>
              <w:autoSpaceDN/>
              <w:jc w:val="left"/>
              <w:rPr>
                <w:rFonts w:ascii="Times New Roman" w:hAnsi="Times New Roman" w:cs="Times New Roman"/>
                <w:sz w:val="21"/>
                <w:szCs w:val="21"/>
                <w:lang w:eastAsia="zh-CN"/>
              </w:rPr>
            </w:pPr>
            <w:r>
              <w:rPr>
                <w:rFonts w:hint="eastAsia" w:ascii="宋体" w:hAnsi="宋体" w:cs="Times New Roman"/>
                <w:kern w:val="0"/>
                <w:sz w:val="24"/>
                <w:szCs w:val="24"/>
                <w:lang w:eastAsia="zh-CN"/>
              </w:rPr>
              <w:t>否</w:t>
            </w:r>
          </w:p>
        </w:tc>
      </w:tr>
    </w:tbl>
    <w:p w14:paraId="150EC807">
      <w:pPr>
        <w:widowControl/>
        <w:wordWrap/>
        <w:autoSpaceDE/>
        <w:autoSpaceDN/>
        <w:spacing w:line="360" w:lineRule="auto"/>
        <w:jc w:val="left"/>
        <w:rPr>
          <w:rFonts w:hint="default" w:ascii="宋体" w:hAnsi="宋体" w:cs="宋体"/>
          <w:sz w:val="24"/>
          <w:szCs w:val="24"/>
          <w:lang w:val="en-US" w:eastAsia="zh-CN"/>
        </w:rPr>
      </w:pPr>
    </w:p>
    <w:p w14:paraId="537A724C">
      <w:pPr>
        <w:widowControl/>
        <w:wordWrap/>
        <w:autoSpaceDE/>
        <w:autoSpaceDN/>
        <w:spacing w:line="360" w:lineRule="auto"/>
        <w:ind w:firstLine="482" w:firstLineChars="200"/>
        <w:jc w:val="left"/>
        <w:rPr>
          <w:rFonts w:ascii="宋体" w:hAnsi="宋体" w:cs="宋体"/>
          <w:b/>
          <w:sz w:val="24"/>
          <w:szCs w:val="24"/>
          <w:lang w:eastAsia="zh-CN"/>
        </w:rPr>
      </w:pPr>
      <w:r>
        <w:rPr>
          <w:rFonts w:hint="eastAsia" w:ascii="宋体" w:hAnsi="宋体" w:cs="宋体"/>
          <w:b/>
          <w:sz w:val="24"/>
          <w:szCs w:val="24"/>
          <w:lang w:val="en-US" w:eastAsia="zh-CN"/>
        </w:rPr>
        <w:t>三</w:t>
      </w:r>
      <w:r>
        <w:rPr>
          <w:rFonts w:hint="eastAsia" w:ascii="宋体" w:hAnsi="宋体" w:cs="宋体"/>
          <w:b/>
          <w:sz w:val="24"/>
          <w:szCs w:val="24"/>
          <w:lang w:eastAsia="zh-CN"/>
        </w:rPr>
        <w:t>、开箱验收</w:t>
      </w:r>
    </w:p>
    <w:p w14:paraId="130F9A9D">
      <w:pPr>
        <w:widowControl/>
        <w:wordWrap/>
        <w:autoSpaceDE/>
        <w:autoSpaceDN/>
        <w:spacing w:line="360" w:lineRule="auto"/>
        <w:ind w:firstLine="480" w:firstLineChars="200"/>
        <w:jc w:val="left"/>
        <w:rPr>
          <w:rFonts w:ascii="宋体" w:hAnsi="宋体" w:cs="宋体"/>
          <w:sz w:val="24"/>
          <w:szCs w:val="24"/>
          <w:lang w:eastAsia="zh-CN"/>
        </w:rPr>
      </w:pPr>
      <w:r>
        <w:rPr>
          <w:rFonts w:hint="eastAsia" w:ascii="宋体" w:hAnsi="宋体" w:cs="宋体"/>
          <w:sz w:val="24"/>
          <w:szCs w:val="24"/>
          <w:lang w:eastAsia="zh-CN"/>
        </w:rPr>
        <w:t>1.产品运抵现场后，双方应及时开箱验收，并制作验收记录，以确认与本合同约定的数量、型号等是否一致。</w:t>
      </w:r>
    </w:p>
    <w:p w14:paraId="4B2B0597">
      <w:pPr>
        <w:widowControl/>
        <w:wordWrap/>
        <w:autoSpaceDE/>
        <w:autoSpaceDN/>
        <w:spacing w:line="360" w:lineRule="auto"/>
        <w:ind w:firstLine="480" w:firstLineChars="200"/>
        <w:jc w:val="left"/>
        <w:rPr>
          <w:rFonts w:ascii="宋体" w:hAnsi="宋体" w:cs="宋体"/>
          <w:sz w:val="24"/>
          <w:szCs w:val="24"/>
          <w:lang w:eastAsia="zh-CN"/>
        </w:rPr>
      </w:pPr>
      <w:r>
        <w:rPr>
          <w:rFonts w:hint="eastAsia" w:ascii="宋体" w:hAnsi="宋体" w:cs="宋体"/>
          <w:sz w:val="24"/>
          <w:szCs w:val="24"/>
          <w:lang w:eastAsia="zh-CN"/>
        </w:rPr>
        <w:t>2.乙方应在交货前对产品的质量、规格、数量等进行详细而全面的检验，并出具证明产品符合合同规定的文件。该文件将作为申请付款单据的一部分，但有关质量、规格、数量的检验不应视为最终检验。</w:t>
      </w:r>
    </w:p>
    <w:p w14:paraId="470E15B7">
      <w:pPr>
        <w:widowControl/>
        <w:wordWrap/>
        <w:autoSpaceDE/>
        <w:autoSpaceDN/>
        <w:spacing w:line="360" w:lineRule="auto"/>
        <w:ind w:firstLine="480" w:firstLineChars="200"/>
        <w:jc w:val="left"/>
        <w:rPr>
          <w:rFonts w:ascii="宋体" w:hAnsi="宋体" w:cs="宋体"/>
          <w:sz w:val="24"/>
          <w:szCs w:val="24"/>
          <w:lang w:eastAsia="zh-CN"/>
        </w:rPr>
      </w:pPr>
      <w:r>
        <w:rPr>
          <w:rFonts w:hint="eastAsia" w:ascii="宋体" w:hAnsi="宋体" w:cs="宋体"/>
          <w:sz w:val="24"/>
          <w:szCs w:val="24"/>
          <w:lang w:eastAsia="zh-CN"/>
        </w:rPr>
        <w:t>3.乙方所供设备必须按我国现使用的标准制造，所购标准件和原材料均是国家名牌企业（或用户指定厂家）的合格产品，不会受到其它方提出的专利权、商标权或工业设计权等起诉。其余技术条件完全按照甲方要求。</w:t>
      </w:r>
    </w:p>
    <w:p w14:paraId="093931A1">
      <w:pPr>
        <w:widowControl/>
        <w:wordWrap/>
        <w:autoSpaceDE/>
        <w:autoSpaceDN/>
        <w:spacing w:line="360" w:lineRule="auto"/>
        <w:ind w:firstLine="480" w:firstLineChars="200"/>
        <w:jc w:val="left"/>
        <w:rPr>
          <w:rFonts w:ascii="宋体" w:hAnsi="宋体" w:cs="宋体"/>
          <w:sz w:val="24"/>
          <w:szCs w:val="24"/>
          <w:lang w:eastAsia="zh-CN"/>
        </w:rPr>
      </w:pPr>
      <w:r>
        <w:rPr>
          <w:rFonts w:hint="eastAsia" w:ascii="宋体" w:hAnsi="宋体" w:cs="宋体"/>
          <w:sz w:val="24"/>
          <w:szCs w:val="24"/>
          <w:lang w:eastAsia="zh-CN"/>
        </w:rPr>
        <w:t>4.开箱验收中如发现产品的数量、规格与合同约定不符，甲方有权拒收产品，乙方应及时按甲方要求免费对拒收产品采取更换或其他必要的补救措施，直至开箱验收合格，方视为乙方完成交货。</w:t>
      </w:r>
    </w:p>
    <w:p w14:paraId="07FA70FC">
      <w:pPr>
        <w:widowControl/>
        <w:wordWrap/>
        <w:autoSpaceDE/>
        <w:autoSpaceDN/>
        <w:spacing w:line="360" w:lineRule="auto"/>
        <w:ind w:firstLine="482" w:firstLineChars="200"/>
        <w:jc w:val="left"/>
        <w:rPr>
          <w:rFonts w:ascii="宋体" w:hAnsi="宋体" w:cs="宋体"/>
          <w:b/>
          <w:sz w:val="24"/>
          <w:szCs w:val="24"/>
          <w:lang w:eastAsia="zh-CN"/>
        </w:rPr>
      </w:pPr>
      <w:r>
        <w:rPr>
          <w:rFonts w:hint="eastAsia" w:ascii="宋体" w:hAnsi="宋体" w:cs="宋体"/>
          <w:b/>
          <w:sz w:val="24"/>
          <w:szCs w:val="24"/>
          <w:lang w:val="en-US" w:eastAsia="zh-CN"/>
        </w:rPr>
        <w:t>四</w:t>
      </w:r>
      <w:r>
        <w:rPr>
          <w:rFonts w:hint="eastAsia" w:ascii="宋体" w:hAnsi="宋体" w:cs="宋体"/>
          <w:b/>
          <w:sz w:val="24"/>
          <w:szCs w:val="24"/>
          <w:lang w:eastAsia="zh-CN"/>
        </w:rPr>
        <w:t>、检验验收</w:t>
      </w:r>
    </w:p>
    <w:p w14:paraId="28667042">
      <w:pPr>
        <w:widowControl/>
        <w:wordWrap/>
        <w:autoSpaceDE/>
        <w:autoSpaceDN/>
        <w:spacing w:line="360" w:lineRule="auto"/>
        <w:ind w:firstLine="480" w:firstLineChars="200"/>
        <w:jc w:val="left"/>
        <w:rPr>
          <w:rFonts w:ascii="宋体" w:hAnsi="宋体" w:cs="宋体"/>
          <w:sz w:val="24"/>
          <w:szCs w:val="24"/>
          <w:lang w:eastAsia="zh-CN"/>
        </w:rPr>
      </w:pPr>
      <w:r>
        <w:rPr>
          <w:rFonts w:hint="eastAsia" w:ascii="宋体" w:hAnsi="宋体" w:cs="宋体"/>
          <w:sz w:val="24"/>
          <w:szCs w:val="24"/>
          <w:lang w:eastAsia="zh-CN"/>
        </w:rPr>
        <w:t>1.交货完成后，乙方应及时组装、调试、试运行，并保证设备的全面性、连续性、稳定性运行。按照合同条款规定的试运行完成后，双方及时组织对产品检验验收。合同双方均须派人参加合同要求双方参加的试验、检验。</w:t>
      </w:r>
    </w:p>
    <w:p w14:paraId="1A9AF5DA">
      <w:pPr>
        <w:widowControl/>
        <w:wordWrap/>
        <w:autoSpaceDE/>
        <w:autoSpaceDN/>
        <w:spacing w:line="360" w:lineRule="auto"/>
        <w:ind w:firstLine="480" w:firstLineChars="200"/>
        <w:jc w:val="left"/>
        <w:rPr>
          <w:rFonts w:ascii="宋体" w:hAnsi="宋体" w:cs="宋体"/>
          <w:sz w:val="24"/>
          <w:szCs w:val="24"/>
          <w:lang w:eastAsia="zh-CN"/>
        </w:rPr>
      </w:pPr>
      <w:r>
        <w:rPr>
          <w:rFonts w:hint="eastAsia" w:ascii="宋体" w:hAnsi="宋体" w:cs="宋体"/>
          <w:sz w:val="24"/>
          <w:szCs w:val="24"/>
          <w:lang w:eastAsia="zh-CN"/>
        </w:rPr>
        <w:t>2.在具体实施合同规定的检验验收之前，乙方需提前提交相应的测试计划（包括测试程序、测试内容和检验标准、试验时间安排等）供甲方确认。</w:t>
      </w:r>
    </w:p>
    <w:p w14:paraId="629FA8D7">
      <w:pPr>
        <w:widowControl/>
        <w:wordWrap/>
        <w:autoSpaceDE/>
        <w:autoSpaceDN/>
        <w:spacing w:line="360" w:lineRule="auto"/>
        <w:ind w:firstLine="480" w:firstLineChars="200"/>
        <w:jc w:val="left"/>
        <w:rPr>
          <w:rFonts w:ascii="宋体" w:hAnsi="宋体" w:cs="宋体"/>
          <w:sz w:val="24"/>
          <w:szCs w:val="24"/>
          <w:lang w:eastAsia="zh-CN"/>
        </w:rPr>
      </w:pPr>
      <w:r>
        <w:rPr>
          <w:rFonts w:hint="eastAsia" w:ascii="宋体" w:hAnsi="宋体" w:cs="宋体"/>
          <w:sz w:val="24"/>
          <w:szCs w:val="24"/>
          <w:lang w:eastAsia="zh-CN"/>
        </w:rPr>
        <w:t>3.除需甲方确认的试验验收外，乙方还应对所有检验验收测试的结果、步骤、原始数据等作妥善记录。如甲方要求，乙方应提供这些记录给甲方。</w:t>
      </w:r>
    </w:p>
    <w:p w14:paraId="3ECEE2AF">
      <w:pPr>
        <w:widowControl/>
        <w:wordWrap/>
        <w:autoSpaceDE/>
        <w:autoSpaceDN/>
        <w:spacing w:line="360" w:lineRule="auto"/>
        <w:ind w:firstLine="480" w:firstLineChars="200"/>
        <w:jc w:val="left"/>
        <w:rPr>
          <w:rFonts w:ascii="宋体" w:hAnsi="宋体" w:cs="宋体"/>
          <w:sz w:val="24"/>
          <w:szCs w:val="24"/>
          <w:lang w:eastAsia="zh-CN"/>
        </w:rPr>
      </w:pPr>
      <w:r>
        <w:rPr>
          <w:rFonts w:hint="eastAsia" w:ascii="宋体" w:hAnsi="宋体" w:cs="宋体"/>
          <w:sz w:val="24"/>
          <w:szCs w:val="24"/>
          <w:lang w:eastAsia="zh-CN"/>
        </w:rPr>
        <w:t>4.检验测试出现全部或部分未达到本合同所约定的技术指标，甲方有权选择下列任一处理方式：</w:t>
      </w:r>
    </w:p>
    <w:p w14:paraId="2A7DDA8E">
      <w:pPr>
        <w:widowControl/>
        <w:wordWrap/>
        <w:autoSpaceDE/>
        <w:autoSpaceDN/>
        <w:spacing w:line="360" w:lineRule="auto"/>
        <w:ind w:firstLine="480" w:firstLineChars="200"/>
        <w:jc w:val="left"/>
        <w:rPr>
          <w:rFonts w:ascii="宋体" w:hAnsi="宋体" w:cs="宋体"/>
          <w:sz w:val="24"/>
          <w:szCs w:val="24"/>
          <w:lang w:eastAsia="zh-CN"/>
        </w:rPr>
      </w:pPr>
      <w:r>
        <w:rPr>
          <w:rFonts w:hint="eastAsia" w:ascii="宋体" w:hAnsi="宋体" w:cs="宋体"/>
          <w:sz w:val="24"/>
          <w:szCs w:val="24"/>
          <w:lang w:eastAsia="zh-CN"/>
        </w:rPr>
        <w:t>a.重新测试直至合格为止；</w:t>
      </w:r>
    </w:p>
    <w:p w14:paraId="38600A49">
      <w:pPr>
        <w:widowControl/>
        <w:wordWrap/>
        <w:autoSpaceDE/>
        <w:autoSpaceDN/>
        <w:spacing w:line="360" w:lineRule="auto"/>
        <w:ind w:firstLine="480" w:firstLineChars="200"/>
        <w:jc w:val="left"/>
        <w:rPr>
          <w:rFonts w:ascii="宋体" w:hAnsi="宋体" w:cs="宋体"/>
          <w:sz w:val="24"/>
          <w:szCs w:val="24"/>
          <w:lang w:eastAsia="zh-CN"/>
        </w:rPr>
      </w:pPr>
      <w:r>
        <w:rPr>
          <w:rFonts w:hint="eastAsia" w:ascii="宋体" w:hAnsi="宋体" w:cs="宋体"/>
          <w:sz w:val="24"/>
          <w:szCs w:val="24"/>
          <w:lang w:eastAsia="zh-CN"/>
        </w:rPr>
        <w:t>b.要求乙方对货物进行免费更换，然后重新测试直至合格为止；</w:t>
      </w:r>
    </w:p>
    <w:p w14:paraId="6A311615">
      <w:pPr>
        <w:widowControl/>
        <w:wordWrap/>
        <w:autoSpaceDE/>
        <w:autoSpaceDN/>
        <w:spacing w:line="360" w:lineRule="auto"/>
        <w:ind w:firstLine="480" w:firstLineChars="200"/>
        <w:jc w:val="left"/>
        <w:rPr>
          <w:rFonts w:ascii="宋体" w:hAnsi="宋体" w:cs="宋体"/>
          <w:sz w:val="24"/>
          <w:szCs w:val="24"/>
          <w:lang w:eastAsia="zh-CN"/>
        </w:rPr>
      </w:pPr>
      <w:r>
        <w:rPr>
          <w:rFonts w:hint="eastAsia" w:ascii="宋体" w:hAnsi="宋体" w:cs="宋体"/>
          <w:sz w:val="24"/>
          <w:szCs w:val="24"/>
          <w:lang w:eastAsia="zh-CN"/>
        </w:rPr>
        <w:t>无论选择何种方式，甲方因此而发生的因乙方原因引起的所有费用均由乙方负担。</w:t>
      </w:r>
    </w:p>
    <w:p w14:paraId="0238F9E8">
      <w:pPr>
        <w:widowControl/>
        <w:wordWrap/>
        <w:autoSpaceDE/>
        <w:autoSpaceDN/>
        <w:spacing w:line="360" w:lineRule="auto"/>
        <w:ind w:firstLine="482" w:firstLineChars="200"/>
        <w:jc w:val="left"/>
        <w:rPr>
          <w:rFonts w:ascii="宋体" w:hAnsi="宋体" w:cs="宋体"/>
          <w:b/>
          <w:sz w:val="24"/>
          <w:szCs w:val="24"/>
          <w:lang w:eastAsia="zh-CN"/>
        </w:rPr>
      </w:pPr>
      <w:r>
        <w:rPr>
          <w:rFonts w:hint="eastAsia" w:ascii="宋体" w:hAnsi="宋体" w:cs="宋体"/>
          <w:b/>
          <w:sz w:val="24"/>
          <w:szCs w:val="24"/>
          <w:lang w:val="en-US" w:eastAsia="zh-CN"/>
        </w:rPr>
        <w:t>五</w:t>
      </w:r>
      <w:r>
        <w:rPr>
          <w:rFonts w:hint="eastAsia" w:ascii="宋体" w:hAnsi="宋体" w:cs="宋体"/>
          <w:b/>
          <w:sz w:val="24"/>
          <w:szCs w:val="24"/>
          <w:lang w:eastAsia="zh-CN"/>
        </w:rPr>
        <w:t>、使用过程检验</w:t>
      </w:r>
    </w:p>
    <w:p w14:paraId="39AE3F65">
      <w:pPr>
        <w:widowControl/>
        <w:wordWrap/>
        <w:autoSpaceDE/>
        <w:autoSpaceDN/>
        <w:spacing w:line="360" w:lineRule="auto"/>
        <w:ind w:firstLine="480" w:firstLineChars="200"/>
        <w:jc w:val="left"/>
        <w:rPr>
          <w:rFonts w:ascii="宋体" w:hAnsi="宋体" w:cs="宋体"/>
          <w:sz w:val="24"/>
          <w:szCs w:val="24"/>
          <w:lang w:eastAsia="zh-CN"/>
        </w:rPr>
      </w:pPr>
      <w:r>
        <w:rPr>
          <w:rFonts w:hint="eastAsia" w:ascii="宋体" w:hAnsi="宋体" w:cs="宋体"/>
          <w:sz w:val="24"/>
          <w:szCs w:val="24"/>
          <w:lang w:eastAsia="zh-CN"/>
        </w:rPr>
        <w:t>1.在合同规定的质量保证期内，发现设备的质量或规格与合同规定不符，或证明设备有缺陷，包括潜在的缺陷或使用不合适的原材料等，由甲方组织质检（相关检测费用由乙方承担），据质检报告及质量保证条款向乙方提出索赔，此索赔并不免除乙方应承担的合同义务。</w:t>
      </w:r>
    </w:p>
    <w:p w14:paraId="0EA198EC">
      <w:pPr>
        <w:widowControl/>
        <w:wordWrap/>
        <w:autoSpaceDE/>
        <w:autoSpaceDN/>
        <w:spacing w:line="360" w:lineRule="auto"/>
        <w:ind w:firstLine="480" w:firstLineChars="200"/>
        <w:jc w:val="left"/>
        <w:rPr>
          <w:rFonts w:ascii="宋体" w:hAnsi="宋体" w:cs="宋体"/>
          <w:sz w:val="24"/>
          <w:szCs w:val="24"/>
          <w:lang w:eastAsia="zh-CN"/>
        </w:rPr>
      </w:pPr>
      <w:r>
        <w:rPr>
          <w:rFonts w:hint="eastAsia" w:ascii="宋体" w:hAnsi="宋体" w:cs="宋体"/>
          <w:sz w:val="24"/>
          <w:szCs w:val="24"/>
          <w:lang w:eastAsia="zh-CN"/>
        </w:rPr>
        <w:t>2.如果合同双方对乙方提供的上述试验结果报告的解释有分歧，双方须于出现分歧后10天内给对方声明，以陈述己方的观点。声明须附有关证据。分歧应通过协商解决。</w:t>
      </w:r>
    </w:p>
    <w:p w14:paraId="298A3184">
      <w:pPr>
        <w:widowControl/>
        <w:wordWrap/>
        <w:autoSpaceDE/>
        <w:autoSpaceDN/>
        <w:spacing w:line="360" w:lineRule="auto"/>
        <w:ind w:firstLine="482" w:firstLineChars="200"/>
        <w:jc w:val="left"/>
        <w:rPr>
          <w:rFonts w:ascii="宋体" w:hAnsi="宋体" w:cs="宋体"/>
          <w:b/>
          <w:sz w:val="24"/>
          <w:szCs w:val="24"/>
          <w:lang w:eastAsia="zh-CN"/>
        </w:rPr>
      </w:pPr>
      <w:r>
        <w:rPr>
          <w:rFonts w:hint="eastAsia" w:ascii="宋体" w:hAnsi="宋体" w:cs="宋体"/>
          <w:b/>
          <w:sz w:val="24"/>
          <w:szCs w:val="24"/>
          <w:lang w:val="en-US" w:eastAsia="zh-CN"/>
        </w:rPr>
        <w:t>六</w:t>
      </w:r>
      <w:r>
        <w:rPr>
          <w:rFonts w:hint="eastAsia" w:ascii="宋体" w:hAnsi="宋体" w:cs="宋体"/>
          <w:b/>
          <w:sz w:val="24"/>
          <w:szCs w:val="24"/>
          <w:lang w:eastAsia="zh-CN"/>
        </w:rPr>
        <w:t>、安装验收</w:t>
      </w:r>
    </w:p>
    <w:p w14:paraId="66D532B1">
      <w:pPr>
        <w:widowControl/>
        <w:wordWrap/>
        <w:autoSpaceDE/>
        <w:autoSpaceDN/>
        <w:spacing w:line="360" w:lineRule="auto"/>
        <w:ind w:firstLine="480" w:firstLineChars="200"/>
        <w:jc w:val="left"/>
        <w:rPr>
          <w:rFonts w:ascii="宋体" w:hAnsi="宋体" w:cs="宋体"/>
          <w:sz w:val="24"/>
          <w:szCs w:val="24"/>
          <w:lang w:eastAsia="zh-CN"/>
        </w:rPr>
      </w:pPr>
      <w:r>
        <w:rPr>
          <w:rFonts w:hint="eastAsia" w:ascii="宋体" w:hAnsi="宋体" w:cs="宋体"/>
          <w:sz w:val="24"/>
          <w:szCs w:val="24"/>
          <w:lang w:eastAsia="zh-CN"/>
        </w:rPr>
        <w:t>1.若本项目有安装设计图纸，乙方应严格按照本项目设计图纸要求进行安装，并应接受甲方的检查、检验，乙方应为甲方检查时提供便利条件，对不合格的部分应按要求返工修改，同时承担由自身原因导致返工的修改费用。</w:t>
      </w:r>
    </w:p>
    <w:p w14:paraId="4B131E06">
      <w:pPr>
        <w:widowControl/>
        <w:wordWrap/>
        <w:autoSpaceDE/>
        <w:autoSpaceDN/>
        <w:spacing w:line="360" w:lineRule="auto"/>
        <w:ind w:firstLine="480" w:firstLineChars="200"/>
        <w:jc w:val="left"/>
        <w:rPr>
          <w:rFonts w:ascii="宋体" w:hAnsi="宋体" w:cs="宋体"/>
          <w:sz w:val="24"/>
          <w:szCs w:val="24"/>
          <w:lang w:eastAsia="zh-CN"/>
        </w:rPr>
      </w:pPr>
      <w:r>
        <w:rPr>
          <w:rFonts w:hint="eastAsia" w:ascii="宋体" w:hAnsi="宋体" w:cs="宋体"/>
          <w:sz w:val="24"/>
          <w:szCs w:val="24"/>
          <w:lang w:eastAsia="zh-CN"/>
        </w:rPr>
        <w:t>2.乙方安装完毕后应进行自检，自检合格后3个工作日内通知甲方进行验收。甲方按照学校验收要求，及时组织验收。若验收不合格，乙方应在甲方限定时间内进行修改并组织再次验收，直至验收合格。</w:t>
      </w:r>
    </w:p>
    <w:p w14:paraId="39D9769A">
      <w:pPr>
        <w:widowControl/>
        <w:wordWrap/>
        <w:autoSpaceDE/>
        <w:autoSpaceDN/>
        <w:spacing w:line="360" w:lineRule="auto"/>
        <w:ind w:firstLine="480" w:firstLineChars="200"/>
        <w:jc w:val="left"/>
        <w:rPr>
          <w:rFonts w:ascii="宋体" w:hAnsi="宋体" w:cs="宋体"/>
          <w:sz w:val="24"/>
          <w:szCs w:val="24"/>
          <w:lang w:eastAsia="zh-CN"/>
        </w:rPr>
      </w:pPr>
      <w:r>
        <w:rPr>
          <w:rFonts w:hint="eastAsia" w:ascii="宋体" w:hAnsi="宋体" w:cs="宋体"/>
          <w:sz w:val="24"/>
          <w:szCs w:val="24"/>
          <w:lang w:eastAsia="zh-CN"/>
        </w:rPr>
        <w:t>3.所有验收合格，但不能免除乙方应该承担的质保责任。</w:t>
      </w:r>
    </w:p>
    <w:p w14:paraId="3AD48534">
      <w:pPr>
        <w:widowControl/>
        <w:wordWrap/>
        <w:autoSpaceDE/>
        <w:autoSpaceDN/>
        <w:spacing w:line="360" w:lineRule="auto"/>
        <w:ind w:firstLine="482" w:firstLineChars="200"/>
        <w:jc w:val="left"/>
        <w:rPr>
          <w:rFonts w:ascii="宋体" w:hAnsi="宋体" w:cs="宋体"/>
          <w:b/>
          <w:sz w:val="24"/>
          <w:szCs w:val="24"/>
          <w:lang w:eastAsia="zh-CN"/>
        </w:rPr>
      </w:pPr>
      <w:r>
        <w:rPr>
          <w:rFonts w:hint="eastAsia" w:ascii="宋体" w:hAnsi="宋体" w:cs="宋体"/>
          <w:b/>
          <w:sz w:val="24"/>
          <w:szCs w:val="24"/>
          <w:lang w:val="en-US" w:eastAsia="zh-CN"/>
        </w:rPr>
        <w:t>七</w:t>
      </w:r>
      <w:r>
        <w:rPr>
          <w:rFonts w:hint="eastAsia" w:ascii="宋体" w:hAnsi="宋体" w:cs="宋体"/>
          <w:b/>
          <w:sz w:val="24"/>
          <w:szCs w:val="24"/>
          <w:lang w:eastAsia="zh-CN"/>
        </w:rPr>
        <w:t>、安全管理</w:t>
      </w:r>
    </w:p>
    <w:p w14:paraId="4BC8178B">
      <w:pPr>
        <w:widowControl/>
        <w:wordWrap/>
        <w:autoSpaceDE/>
        <w:autoSpaceDN/>
        <w:spacing w:line="360" w:lineRule="auto"/>
        <w:ind w:firstLine="480" w:firstLineChars="200"/>
        <w:jc w:val="left"/>
        <w:rPr>
          <w:rFonts w:ascii="宋体" w:hAnsi="宋体" w:cs="宋体"/>
          <w:sz w:val="24"/>
          <w:szCs w:val="24"/>
          <w:lang w:eastAsia="zh-CN"/>
        </w:rPr>
      </w:pPr>
      <w:r>
        <w:rPr>
          <w:rFonts w:hint="eastAsia" w:ascii="宋体" w:hAnsi="宋体" w:cs="宋体"/>
          <w:sz w:val="24"/>
          <w:szCs w:val="24"/>
          <w:lang w:eastAsia="zh-CN"/>
        </w:rPr>
        <w:t>1.货物安装现场安全、文明管理由乙方编制专项详细方案并严格执行。</w:t>
      </w:r>
    </w:p>
    <w:p w14:paraId="07E42230">
      <w:pPr>
        <w:widowControl/>
        <w:wordWrap/>
        <w:autoSpaceDE/>
        <w:autoSpaceDN/>
        <w:spacing w:line="360" w:lineRule="auto"/>
        <w:ind w:firstLine="480" w:firstLineChars="200"/>
        <w:jc w:val="left"/>
        <w:rPr>
          <w:rFonts w:ascii="宋体" w:hAnsi="宋体" w:cs="宋体"/>
          <w:sz w:val="24"/>
          <w:szCs w:val="24"/>
          <w:lang w:eastAsia="zh-CN"/>
        </w:rPr>
      </w:pPr>
      <w:r>
        <w:rPr>
          <w:rFonts w:hint="eastAsia" w:ascii="宋体" w:hAnsi="宋体" w:cs="宋体"/>
          <w:sz w:val="24"/>
          <w:szCs w:val="24"/>
          <w:lang w:eastAsia="zh-CN"/>
        </w:rPr>
        <w:t>2.乙方必须认真执行省市有关施工安全生产条例和规定以及甲方管理要求，并做好安全管理工作，避免并杜绝安全事故的发生。如发生工程、财产和人身伤害以及安全事故，一切责任与后果均由乙方承担，同时，给甲方造成损失，甲方将视情况对乙方处以相应的经济赔偿。</w:t>
      </w:r>
    </w:p>
    <w:p w14:paraId="551769E4">
      <w:pPr>
        <w:widowControl/>
        <w:wordWrap/>
        <w:autoSpaceDE/>
        <w:autoSpaceDN/>
        <w:spacing w:line="360" w:lineRule="auto"/>
        <w:ind w:firstLine="480" w:firstLineChars="200"/>
        <w:jc w:val="left"/>
        <w:rPr>
          <w:rFonts w:ascii="宋体" w:hAnsi="宋体" w:cs="宋体"/>
          <w:sz w:val="24"/>
          <w:szCs w:val="24"/>
          <w:lang w:eastAsia="zh-CN"/>
        </w:rPr>
      </w:pPr>
      <w:r>
        <w:rPr>
          <w:rFonts w:hint="eastAsia" w:ascii="宋体" w:hAnsi="宋体" w:cs="宋体"/>
          <w:sz w:val="24"/>
          <w:szCs w:val="24"/>
          <w:lang w:eastAsia="zh-CN"/>
        </w:rPr>
        <w:t>3.在设备安装施工全过程中，乙方应服从甲方的各项管理，并对乙方施工人员进行安全管理。</w:t>
      </w:r>
    </w:p>
    <w:p w14:paraId="0A088F91">
      <w:pPr>
        <w:widowControl/>
        <w:wordWrap/>
        <w:autoSpaceDE/>
        <w:autoSpaceDN/>
        <w:spacing w:line="360" w:lineRule="auto"/>
        <w:ind w:firstLine="480" w:firstLineChars="200"/>
        <w:jc w:val="left"/>
        <w:rPr>
          <w:rFonts w:ascii="宋体" w:hAnsi="宋体" w:cs="宋体"/>
          <w:sz w:val="24"/>
          <w:szCs w:val="24"/>
          <w:lang w:eastAsia="zh-CN"/>
        </w:rPr>
      </w:pPr>
      <w:r>
        <w:rPr>
          <w:rFonts w:hint="eastAsia" w:ascii="宋体" w:hAnsi="宋体" w:cs="宋体"/>
          <w:sz w:val="24"/>
          <w:szCs w:val="24"/>
          <w:lang w:eastAsia="zh-CN"/>
        </w:rPr>
        <w:t>4.确保现场建筑物及相关设施设备完好无损，如施工过程中出现损坏，乙方负责修复赔偿。</w:t>
      </w:r>
    </w:p>
    <w:p w14:paraId="01112873">
      <w:pPr>
        <w:widowControl/>
        <w:wordWrap/>
        <w:autoSpaceDE/>
        <w:autoSpaceDN/>
        <w:spacing w:line="360" w:lineRule="auto"/>
        <w:ind w:firstLine="480" w:firstLineChars="200"/>
        <w:jc w:val="left"/>
        <w:rPr>
          <w:rFonts w:ascii="宋体" w:hAnsi="宋体" w:cs="宋体"/>
          <w:sz w:val="24"/>
          <w:szCs w:val="24"/>
          <w:lang w:eastAsia="zh-CN"/>
        </w:rPr>
      </w:pPr>
      <w:r>
        <w:rPr>
          <w:rFonts w:hint="eastAsia" w:ascii="宋体" w:hAnsi="宋体" w:cs="宋体"/>
          <w:sz w:val="24"/>
          <w:szCs w:val="24"/>
          <w:lang w:eastAsia="zh-CN"/>
        </w:rPr>
        <w:t>5.乙方应对安装施工人员相关岗位上岗资格进行审查，并对相关后果负责。</w:t>
      </w:r>
    </w:p>
    <w:p w14:paraId="68AD2331">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bookmarkStart w:id="23" w:name="_GoBack"/>
      <w:bookmarkEnd w:id="23"/>
    </w:p>
    <w:p w14:paraId="71B33585">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p>
    <w:p w14:paraId="79773CE3">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p>
    <w:p w14:paraId="40A7DCFC">
      <w:pPr>
        <w:wordWrap/>
        <w:autoSpaceDE/>
        <w:autoSpaceDN/>
        <w:rPr>
          <w:rFonts w:hint="eastAsia" w:ascii="宋体" w:hAnsi="宋体" w:eastAsia="宋体" w:cs="宋体"/>
          <w:color w:val="auto"/>
          <w:kern w:val="0"/>
          <w:sz w:val="28"/>
          <w:szCs w:val="28"/>
          <w:lang w:eastAsia="zh-CN"/>
        </w:rPr>
      </w:pPr>
      <w:r>
        <w:rPr>
          <w:rFonts w:hint="eastAsia" w:ascii="宋体" w:hAnsi="宋体" w:eastAsia="宋体" w:cs="宋体"/>
          <w:color w:val="auto"/>
          <w:kern w:val="0"/>
          <w:sz w:val="28"/>
          <w:szCs w:val="28"/>
          <w:lang w:eastAsia="zh-CN"/>
        </w:rPr>
        <w:br w:type="page"/>
      </w:r>
    </w:p>
    <w:p w14:paraId="6814F2DF">
      <w:pPr>
        <w:widowControl/>
        <w:wordWrap/>
        <w:autoSpaceDE/>
        <w:autoSpaceDN/>
        <w:spacing w:line="360" w:lineRule="auto"/>
        <w:jc w:val="left"/>
        <w:outlineLvl w:val="9"/>
        <w:rPr>
          <w:rFonts w:hint="eastAsia" w:ascii="宋体" w:hAnsi="宋体" w:eastAsia="宋体" w:cs="宋体"/>
          <w:color w:val="auto"/>
          <w:kern w:val="0"/>
          <w:sz w:val="28"/>
          <w:szCs w:val="28"/>
          <w:lang w:eastAsia="zh-CN"/>
        </w:rPr>
      </w:pPr>
      <w:r>
        <w:rPr>
          <w:rFonts w:hint="eastAsia" w:ascii="宋体" w:hAnsi="宋体" w:eastAsia="宋体" w:cs="宋体"/>
          <w:color w:val="auto"/>
          <w:kern w:val="0"/>
          <w:sz w:val="28"/>
          <w:szCs w:val="28"/>
          <w:lang w:eastAsia="zh-CN"/>
        </w:rPr>
        <w:t>附件3：索赔</w:t>
      </w:r>
    </w:p>
    <w:p w14:paraId="1861D7CE">
      <w:pPr>
        <w:widowControl/>
        <w:wordWrap/>
        <w:autoSpaceDE/>
        <w:autoSpaceDN/>
        <w:spacing w:line="360" w:lineRule="auto"/>
        <w:ind w:left="0" w:leftChars="0" w:firstLine="0" w:firstLineChars="0"/>
        <w:jc w:val="center"/>
        <w:outlineLvl w:val="9"/>
        <w:rPr>
          <w:rFonts w:hint="eastAsia" w:ascii="宋体" w:hAnsi="宋体" w:eastAsia="宋体" w:cs="宋体"/>
          <w:color w:val="auto"/>
          <w:sz w:val="24"/>
          <w:szCs w:val="24"/>
          <w:lang w:eastAsia="zh-CN"/>
        </w:rPr>
      </w:pPr>
      <w:r>
        <w:rPr>
          <w:rFonts w:hint="eastAsia" w:ascii="宋体" w:hAnsi="宋体" w:eastAsia="宋体" w:cs="宋体"/>
          <w:b/>
          <w:color w:val="auto"/>
          <w:kern w:val="0"/>
          <w:sz w:val="28"/>
          <w:szCs w:val="28"/>
          <w:lang w:eastAsia="zh-CN"/>
        </w:rPr>
        <w:t>索 赔</w:t>
      </w:r>
    </w:p>
    <w:p w14:paraId="186C689B">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1.产品的质量、规格、型号、数量、性能、产地及零配件等与合同约定不符，或在质量保证期内证实货物存有缺陷，包括潜在的缺陷或使用不符合要求的材料等，甲方有权根据有资质的权威质检机构的检验结果向乙方提出索赔（但责任应由保险公司或运输部门承担的除外）。</w:t>
      </w:r>
    </w:p>
    <w:p w14:paraId="0DA70948">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2.在验收合格前，乙方对甲方提出的索赔负有责任，乙方应按照甲方同意的下列一种或多种方式解决索赔事宜：</w:t>
      </w:r>
    </w:p>
    <w:p w14:paraId="3785616A">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2.1在法定的退货期内，乙方应按合同规定将货款全额退还给甲方，并承担由此发生的一切损失和费用，包括利息、银行手续费、运费、保险费、检验费、仓储费、装卸费以及为保护退回货物所需的其它必要费用。如已超过退货期，但乙方同意退货，可比照上述办法办理，或由双方协商处理。</w:t>
      </w:r>
    </w:p>
    <w:p w14:paraId="3191188F">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2.2根据货物低劣程度、损坏程度以及甲方所遭受损失的数额，经甲乙双方商定降低货物的价格，或由有资质的中介机构评估，以降低后的价格或评估价格为准。</w:t>
      </w:r>
    </w:p>
    <w:p w14:paraId="16482236">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2.3用符合规格、质量和性能要求的原厂原装新零件、部件或货物来更换有缺陷的部分或修补缺陷部分，乙方应承担一切费用和风险，并负担甲方所发生的一切直接费用。同时，乙方应相应延长、修补或更换件的质保期。</w:t>
      </w:r>
    </w:p>
    <w:p w14:paraId="148BA70D">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3.乙方收到甲方发出的索赔通知之日起5个工作日内未作答复的，甲方可从合同款或履约保证金中扣回索赔金额，如金额不足以补偿索赔金额，乙方应补足差额部分。</w:t>
      </w:r>
      <w:r>
        <w:rPr>
          <w:rFonts w:hint="eastAsia" w:ascii="宋体" w:hAnsi="宋体" w:eastAsia="宋体" w:cs="宋体"/>
          <w:color w:val="auto"/>
          <w:kern w:val="0"/>
          <w:sz w:val="24"/>
          <w:szCs w:val="24"/>
          <w:lang w:eastAsia="zh-CN"/>
        </w:rPr>
        <w:br w:type="textWrapping"/>
      </w:r>
    </w:p>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30F522">
    <w:pPr>
      <w:widowControl w:val="0"/>
      <w:tabs>
        <w:tab w:val="center" w:pos="4153"/>
        <w:tab w:val="right" w:pos="8306"/>
      </w:tabs>
      <w:snapToGrid w:val="0"/>
      <w:jc w:val="left"/>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A74DD5C">
                          <w:pPr>
                            <w:widowControl w:val="0"/>
                            <w:tabs>
                              <w:tab w:val="center" w:pos="4153"/>
                              <w:tab w:val="right" w:pos="8306"/>
                            </w:tabs>
                            <w:snapToGrid w:val="0"/>
                            <w:jc w:val="left"/>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w:t xml:space="preserve">第 </w:t>
                          </w:r>
                          <w:r>
                            <w:rPr>
                              <w:rFonts w:ascii="Times New Roman" w:hAnsi="Times New Roman" w:eastAsia="宋体" w:cs="Times New Roman"/>
                              <w:kern w:val="2"/>
                              <w:sz w:val="18"/>
                              <w:szCs w:val="18"/>
                              <w:lang w:val="en-US" w:eastAsia="zh-CN" w:bidi="ar-SA"/>
                            </w:rPr>
                            <w:fldChar w:fldCharType="begin"/>
                          </w:r>
                          <w:r>
                            <w:rPr>
                              <w:rFonts w:ascii="Times New Roman" w:hAnsi="Times New Roman" w:eastAsia="宋体" w:cs="Times New Roman"/>
                              <w:kern w:val="2"/>
                              <w:sz w:val="18"/>
                              <w:szCs w:val="18"/>
                              <w:lang w:val="en-US" w:eastAsia="zh-CN" w:bidi="ar-SA"/>
                            </w:rPr>
                            <w:instrText xml:space="preserve"> PAGE  \* MERGEFORMAT </w:instrText>
                          </w:r>
                          <w:r>
                            <w:rPr>
                              <w:rFonts w:ascii="Times New Roman" w:hAnsi="Times New Roman" w:eastAsia="宋体" w:cs="Times New Roman"/>
                              <w:kern w:val="2"/>
                              <w:sz w:val="18"/>
                              <w:szCs w:val="18"/>
                              <w:lang w:val="en-US" w:eastAsia="zh-CN" w:bidi="ar-SA"/>
                            </w:rPr>
                            <w:fldChar w:fldCharType="separate"/>
                          </w:r>
                          <w:r>
                            <w:rPr>
                              <w:rFonts w:ascii="Times New Roman" w:hAnsi="Times New Roman" w:eastAsia="宋体" w:cs="Times New Roman"/>
                              <w:kern w:val="2"/>
                              <w:sz w:val="18"/>
                              <w:szCs w:val="18"/>
                              <w:lang w:val="en-US" w:eastAsia="zh-CN" w:bidi="ar-SA"/>
                            </w:rPr>
                            <w:t>- 2 -</w:t>
                          </w:r>
                          <w:r>
                            <w:rPr>
                              <w:rFonts w:ascii="Times New Roman" w:hAnsi="Times New Roman" w:eastAsia="宋体" w:cs="Times New Roman"/>
                              <w:kern w:val="2"/>
                              <w:sz w:val="18"/>
                              <w:szCs w:val="18"/>
                              <w:lang w:val="en-US" w:eastAsia="zh-CN" w:bidi="ar-SA"/>
                            </w:rPr>
                            <w:fldChar w:fldCharType="end"/>
                          </w:r>
                          <w:r>
                            <w:rPr>
                              <w:rFonts w:ascii="Times New Roman" w:hAnsi="Times New Roman" w:eastAsia="宋体" w:cs="Times New Roman"/>
                              <w:kern w:val="2"/>
                              <w:sz w:val="18"/>
                              <w:szCs w:val="18"/>
                              <w:lang w:val="en-US" w:eastAsia="zh-CN" w:bidi="ar-SA"/>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A0c4AgAAb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g7W1fuq&#10;e4AptCxs9NbymCZK5e3yECBtUjwK1KmCTsUD5jD17LIzcdD/PKeop/+JxS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z8DRzgCAABvBAAADgAAAAAAAAABACAAAAAfAQAAZHJzL2Uyb0RvYy54&#10;bWxQSwUGAAAAAAYABgBZAQAAyQUAAAAA&#10;">
              <v:fill on="f" focussize="0,0"/>
              <v:stroke on="f" weight="0.5pt"/>
              <v:imagedata o:title=""/>
              <o:lock v:ext="edit" aspectratio="f"/>
              <v:textbox inset="0mm,0mm,0mm,0mm" style="mso-fit-shape-to-text:t;">
                <w:txbxContent>
                  <w:p w14:paraId="1A74DD5C">
                    <w:pPr>
                      <w:widowControl w:val="0"/>
                      <w:tabs>
                        <w:tab w:val="center" w:pos="4153"/>
                        <w:tab w:val="right" w:pos="8306"/>
                      </w:tabs>
                      <w:snapToGrid w:val="0"/>
                      <w:jc w:val="left"/>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w:t xml:space="preserve">第 </w:t>
                    </w:r>
                    <w:r>
                      <w:rPr>
                        <w:rFonts w:ascii="Times New Roman" w:hAnsi="Times New Roman" w:eastAsia="宋体" w:cs="Times New Roman"/>
                        <w:kern w:val="2"/>
                        <w:sz w:val="18"/>
                        <w:szCs w:val="18"/>
                        <w:lang w:val="en-US" w:eastAsia="zh-CN" w:bidi="ar-SA"/>
                      </w:rPr>
                      <w:fldChar w:fldCharType="begin"/>
                    </w:r>
                    <w:r>
                      <w:rPr>
                        <w:rFonts w:ascii="Times New Roman" w:hAnsi="Times New Roman" w:eastAsia="宋体" w:cs="Times New Roman"/>
                        <w:kern w:val="2"/>
                        <w:sz w:val="18"/>
                        <w:szCs w:val="18"/>
                        <w:lang w:val="en-US" w:eastAsia="zh-CN" w:bidi="ar-SA"/>
                      </w:rPr>
                      <w:instrText xml:space="preserve"> PAGE  \* MERGEFORMAT </w:instrText>
                    </w:r>
                    <w:r>
                      <w:rPr>
                        <w:rFonts w:ascii="Times New Roman" w:hAnsi="Times New Roman" w:eastAsia="宋体" w:cs="Times New Roman"/>
                        <w:kern w:val="2"/>
                        <w:sz w:val="18"/>
                        <w:szCs w:val="18"/>
                        <w:lang w:val="en-US" w:eastAsia="zh-CN" w:bidi="ar-SA"/>
                      </w:rPr>
                      <w:fldChar w:fldCharType="separate"/>
                    </w:r>
                    <w:r>
                      <w:rPr>
                        <w:rFonts w:ascii="Times New Roman" w:hAnsi="Times New Roman" w:eastAsia="宋体" w:cs="Times New Roman"/>
                        <w:kern w:val="2"/>
                        <w:sz w:val="18"/>
                        <w:szCs w:val="18"/>
                        <w:lang w:val="en-US" w:eastAsia="zh-CN" w:bidi="ar-SA"/>
                      </w:rPr>
                      <w:t>- 2 -</w:t>
                    </w:r>
                    <w:r>
                      <w:rPr>
                        <w:rFonts w:ascii="Times New Roman" w:hAnsi="Times New Roman" w:eastAsia="宋体" w:cs="Times New Roman"/>
                        <w:kern w:val="2"/>
                        <w:sz w:val="18"/>
                        <w:szCs w:val="18"/>
                        <w:lang w:val="en-US" w:eastAsia="zh-CN" w:bidi="ar-SA"/>
                      </w:rPr>
                      <w:fldChar w:fldCharType="end"/>
                    </w:r>
                    <w:r>
                      <w:rPr>
                        <w:rFonts w:ascii="Times New Roman" w:hAnsi="Times New Roman" w:eastAsia="宋体" w:cs="Times New Roman"/>
                        <w:kern w:val="2"/>
                        <w:sz w:val="18"/>
                        <w:szCs w:val="18"/>
                        <w:lang w:val="en-US" w:eastAsia="zh-CN" w:bidi="ar-SA"/>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F41C0">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6632418">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56632418">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7B445B"/>
    <w:multiLevelType w:val="multilevel"/>
    <w:tmpl w:val="207B445B"/>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0FA24DF2"/>
    <w:rsid w:val="140D67D5"/>
    <w:rsid w:val="264F0079"/>
    <w:rsid w:val="340B271C"/>
    <w:rsid w:val="36DE2219"/>
    <w:rsid w:val="3DB12C1D"/>
    <w:rsid w:val="403B217E"/>
    <w:rsid w:val="58BC239B"/>
    <w:rsid w:val="64DF3A6C"/>
    <w:rsid w:val="66167B0E"/>
    <w:rsid w:val="697314F9"/>
    <w:rsid w:val="6E6C7319"/>
    <w:rsid w:val="70F34A0C"/>
    <w:rsid w:val="78374C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nhideWhenUsed="0" w:uiPriority="1"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wordWrap w:val="0"/>
      <w:autoSpaceDE w:val="0"/>
      <w:autoSpaceDN w:val="0"/>
      <w:jc w:val="both"/>
    </w:pPr>
    <w:rPr>
      <w:rFonts w:ascii="宋体" w:hAnsi="Times New Roman" w:eastAsia="宋体" w:cs="Times New Roman"/>
      <w:kern w:val="2"/>
      <w:szCs w:val="24"/>
      <w:lang w:val="en-US" w:eastAsia="ko-KR" w:bidi="ar-SA"/>
    </w:rPr>
  </w:style>
  <w:style w:type="paragraph" w:styleId="2">
    <w:name w:val="heading 2"/>
    <w:basedOn w:val="1"/>
    <w:next w:val="1"/>
    <w:qFormat/>
    <w:uiPriority w:val="1"/>
    <w:pPr>
      <w:ind w:left="501" w:hanging="401"/>
      <w:outlineLvl w:val="1"/>
    </w:pPr>
    <w:rPr>
      <w:rFonts w:ascii="Microsoft JhengHei" w:hAnsi="Microsoft JhengHei" w:eastAsia="Microsoft JhengHei" w:cs="Microsoft JhengHei"/>
      <w:b/>
      <w:bCs/>
      <w:szCs w:val="32"/>
    </w:rPr>
  </w:style>
  <w:style w:type="paragraph" w:styleId="3">
    <w:name w:val="heading 3"/>
    <w:basedOn w:val="1"/>
    <w:next w:val="1"/>
    <w:qFormat/>
    <w:uiPriority w:val="1"/>
    <w:pPr>
      <w:ind w:left="726" w:hanging="489"/>
      <w:outlineLvl w:val="2"/>
    </w:pPr>
    <w:rPr>
      <w:rFonts w:ascii="宋体" w:hAnsi="宋体" w:eastAsia="宋体" w:cs="宋体"/>
      <w:sz w:val="28"/>
      <w:szCs w:val="28"/>
    </w:rPr>
  </w:style>
  <w:style w:type="paragraph" w:styleId="4">
    <w:name w:val="heading 4"/>
    <w:basedOn w:val="1"/>
    <w:next w:val="1"/>
    <w:qFormat/>
    <w:uiPriority w:val="99"/>
    <w:pPr>
      <w:keepNext/>
      <w:keepLines/>
      <w:spacing w:before="280" w:after="290" w:line="376" w:lineRule="auto"/>
      <w:outlineLvl w:val="3"/>
    </w:pPr>
    <w:rPr>
      <w:rFonts w:ascii="Arial" w:hAnsi="Arial" w:eastAsia="黑体"/>
      <w:b/>
      <w:bCs/>
      <w:sz w:val="28"/>
      <w:szCs w:val="28"/>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wordWrap/>
      <w:autoSpaceDE/>
      <w:autoSpaceDN/>
      <w:ind w:firstLine="420" w:firstLineChars="200"/>
    </w:pPr>
    <w:rPr>
      <w:rFonts w:ascii="Times New Roman"/>
      <w:sz w:val="21"/>
    </w:rPr>
  </w:style>
  <w:style w:type="paragraph" w:styleId="6">
    <w:name w:val="Body Text"/>
    <w:basedOn w:val="1"/>
    <w:qFormat/>
    <w:uiPriority w:val="1"/>
    <w:rPr>
      <w:rFonts w:ascii="宋体" w:hAnsi="宋体" w:eastAsia="宋体" w:cs="宋体"/>
      <w:sz w:val="21"/>
      <w:szCs w:val="21"/>
    </w:rPr>
  </w:style>
  <w:style w:type="paragraph" w:styleId="7">
    <w:name w:val="Plain Text"/>
    <w:basedOn w:val="1"/>
    <w:qFormat/>
    <w:uiPriority w:val="0"/>
    <w:rPr>
      <w:rFonts w:ascii="宋体" w:hAnsi="Courier New"/>
    </w:rPr>
  </w:style>
  <w:style w:type="paragraph" w:styleId="8">
    <w:name w:val="Body Text Indent 2"/>
    <w:basedOn w:val="1"/>
    <w:qFormat/>
    <w:uiPriority w:val="0"/>
    <w:pPr>
      <w:ind w:left="555"/>
    </w:pPr>
    <w:rPr>
      <w:sz w:val="28"/>
      <w:szCs w:val="20"/>
    </w:r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13">
    <w:name w:val="标题 1 字符"/>
    <w:link w:val="14"/>
    <w:qFormat/>
    <w:uiPriority w:val="99"/>
    <w:rPr>
      <w:rFonts w:hint="eastAsia" w:ascii="宋体" w:hAnsi="宋体"/>
      <w:b/>
      <w:bCs/>
      <w:kern w:val="44"/>
      <w:sz w:val="48"/>
      <w:szCs w:val="48"/>
    </w:rPr>
  </w:style>
  <w:style w:type="paragraph" w:customStyle="1" w:styleId="14">
    <w:name w:val="标题 11"/>
    <w:basedOn w:val="1"/>
    <w:link w:val="13"/>
    <w:qFormat/>
    <w:uiPriority w:val="0"/>
    <w:pPr>
      <w:spacing w:beforeAutospacing="1" w:afterAutospacing="1"/>
      <w:jc w:val="left"/>
      <w:outlineLvl w:val="0"/>
    </w:pPr>
    <w:rPr>
      <w:rFonts w:hint="eastAsia" w:ascii="宋体" w:hAnsi="宋体"/>
      <w:b/>
      <w:bCs/>
      <w:kern w:val="44"/>
      <w:sz w:val="48"/>
      <w:szCs w:val="48"/>
    </w:rPr>
  </w:style>
  <w:style w:type="paragraph" w:customStyle="1" w:styleId="15">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16">
    <w:name w:val="List Paragraph"/>
    <w:basedOn w:val="1"/>
    <w:qFormat/>
    <w:uiPriority w:val="1"/>
    <w:pPr>
      <w:ind w:left="100" w:firstLine="420"/>
    </w:pPr>
    <w:rPr>
      <w:rFonts w:ascii="宋体" w:hAnsi="宋体" w:eastAsia="宋体" w:cs="宋体"/>
    </w:rPr>
  </w:style>
  <w:style w:type="paragraph" w:customStyle="1" w:styleId="17">
    <w:name w:val="Table Paragraph"/>
    <w:basedOn w:val="1"/>
    <w:qFormat/>
    <w:uiPriority w:val="1"/>
    <w:rPr>
      <w:rFonts w:ascii="宋体" w:hAnsi="宋体" w:eastAsia="宋体" w:cs="宋体"/>
    </w:rPr>
  </w:style>
  <w:style w:type="paragraph" w:styleId="18">
    <w:name w:val="No Spacing"/>
    <w:qFormat/>
    <w:uiPriority w:val="1"/>
    <w:pPr>
      <w:widowControl w:val="0"/>
    </w:pPr>
    <w:rPr>
      <w:rFonts w:asciiTheme="minorHAnsi" w:hAnsiTheme="minorHAnsi" w:eastAsiaTheme="minorEastAsia" w:cstheme="minorBidi"/>
      <w:kern w:val="2"/>
      <w:sz w:val="22"/>
      <w:szCs w:val="24"/>
      <w:lang w:val="en-US" w:eastAsia="zh-CN" w:bidi="ar-SA"/>
      <w14:ligatures w14:val="standardContextual"/>
    </w:rPr>
  </w:style>
  <w:style w:type="paragraph" w:customStyle="1" w:styleId="19">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6593</Words>
  <Characters>6841</Characters>
  <Lines>0</Lines>
  <Paragraphs>0</Paragraphs>
  <TotalTime>0</TotalTime>
  <ScaleCrop>false</ScaleCrop>
  <LinksUpToDate>false</LinksUpToDate>
  <CharactersWithSpaces>7047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2024-09-29T04:12:00Z</dcterms:created>
  <dc:creator>admin</dc:creator>
  <cp:lastModifiedBy>H</cp:lastModifiedBy>
  <dcterms:modified xsi:type="dcterms:W3CDTF">2026-06-01T08:36:58Z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931211DB81484091B2ECF6BC9BD07C8C_13</vt:lpwstr>
  </property>
  <property fmtid="{D5CDD505-2E9C-101B-9397-08002B2CF9AE}" pid="4" name="KSOTemplateDocerSaveRecord">
    <vt:lpwstr>eyJoZGlkIjoiNWVlZWQ2MGQxNmE1ODQyMmRiYjA3Yzk4MTMyMWVjOGQiLCJ1c2VySWQiOiI1MjUwOTc0MjQifQ==</vt:lpwstr>
  </property>
</Properties>
</file>