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60DF1">
      <w:pPr>
        <w:jc w:val="center"/>
        <w:rPr>
          <w:rFonts w:hint="eastAsia"/>
          <w:b/>
          <w:bCs/>
          <w:lang w:val="en-US" w:eastAsia="zh-CN"/>
        </w:rPr>
      </w:pPr>
      <w:r>
        <w:rPr>
          <w:rFonts w:hint="eastAsia"/>
          <w:b/>
          <w:bCs/>
          <w:lang w:val="en-US" w:eastAsia="zh-CN"/>
        </w:rPr>
        <w:t>验收条件</w:t>
      </w:r>
    </w:p>
    <w:p w14:paraId="7C3AA79A">
      <w:pPr>
        <w:tabs>
          <w:tab w:val="left" w:pos="312"/>
        </w:tabs>
        <w:rPr>
          <w:rFonts w:hint="eastAsia"/>
          <w:b/>
          <w:bCs/>
          <w:lang w:val="en-US" w:eastAsia="zh-CN"/>
        </w:rPr>
      </w:pPr>
      <w:r>
        <w:rPr>
          <w:rFonts w:hint="eastAsia"/>
          <w:b/>
          <w:bCs/>
          <w:lang w:val="en-US" w:eastAsia="zh-CN"/>
        </w:rPr>
        <w:t>一、具体要求：</w:t>
      </w:r>
    </w:p>
    <w:p w14:paraId="65C02967">
      <w:pPr>
        <w:rPr>
          <w:rFonts w:hint="eastAsia" w:ascii="宋体" w:hAnsi="宋体" w:eastAsia="宋体" w:cs="宋体"/>
          <w:lang w:val="en-US" w:eastAsia="zh-CN"/>
        </w:rPr>
      </w:pPr>
      <w:r>
        <w:rPr>
          <w:rFonts w:hint="eastAsia" w:ascii="宋体" w:hAnsi="宋体" w:eastAsia="宋体" w:cs="宋体"/>
          <w:lang w:val="en-US" w:eastAsia="zh-CN"/>
        </w:rPr>
        <w:t>1、设备到货后，由采购方组织，供货方配合，按本验收条件逐项进行现场检验与测试；所有指标需满足或优于技术要求，提供有效佐证材料。</w:t>
      </w:r>
    </w:p>
    <w:p w14:paraId="18014B8F">
      <w:pPr>
        <w:rPr>
          <w:rFonts w:hint="eastAsia" w:ascii="宋体" w:hAnsi="宋体" w:eastAsia="宋体" w:cs="宋体"/>
          <w:lang w:val="en-US" w:eastAsia="zh-CN"/>
        </w:rPr>
      </w:pPr>
      <w:r>
        <w:rPr>
          <w:rFonts w:hint="eastAsia" w:ascii="宋体" w:hAnsi="宋体" w:eastAsia="宋体" w:cs="宋体"/>
          <w:lang w:val="en-US" w:eastAsia="zh-CN"/>
        </w:rPr>
        <w:t>2、验收标准所有硬件、软件指标需符合招标文件技术要求，无功能缺失、性能不达标情况。</w:t>
      </w:r>
    </w:p>
    <w:p w14:paraId="38734C65">
      <w:pPr>
        <w:rPr>
          <w:rFonts w:hint="eastAsia" w:ascii="宋体" w:hAnsi="宋体" w:eastAsia="宋体" w:cs="宋体"/>
          <w:lang w:val="en-US" w:eastAsia="zh-CN"/>
        </w:rPr>
      </w:pPr>
      <w:r>
        <w:rPr>
          <w:rFonts w:hint="eastAsia" w:ascii="宋体" w:hAnsi="宋体" w:eastAsia="宋体" w:cs="宋体"/>
          <w:lang w:val="en-US" w:eastAsia="zh-CN"/>
        </w:rPr>
        <w:t>3、验收结果判定：</w:t>
      </w:r>
    </w:p>
    <w:p w14:paraId="3A468DAB">
      <w:pPr>
        <w:rPr>
          <w:rFonts w:hint="eastAsia" w:ascii="宋体" w:hAnsi="宋体" w:eastAsia="宋体" w:cs="宋体"/>
          <w:lang w:val="en-US" w:eastAsia="zh-CN"/>
        </w:rPr>
      </w:pPr>
      <w:r>
        <w:rPr>
          <w:rFonts w:hint="eastAsia" w:ascii="宋体" w:hAnsi="宋体" w:eastAsia="宋体" w:cs="宋体"/>
          <w:lang w:val="en-US" w:eastAsia="zh-CN"/>
        </w:rPr>
        <w:t>（1）所有硬件、软件指标均满足或优于本验收条件，且所有要求提供的佐证材料齐全、有效，判定为验收合格。</w:t>
      </w:r>
    </w:p>
    <w:p w14:paraId="3FB59DD5">
      <w:pPr>
        <w:rPr>
          <w:rFonts w:hint="eastAsia" w:ascii="宋体" w:hAnsi="宋体" w:eastAsia="宋体" w:cs="宋体"/>
          <w:lang w:val="en-US" w:eastAsia="zh-CN"/>
        </w:rPr>
      </w:pPr>
      <w:r>
        <w:rPr>
          <w:rFonts w:hint="eastAsia" w:ascii="宋体" w:hAnsi="宋体" w:eastAsia="宋体" w:cs="宋体"/>
          <w:lang w:val="en-US" w:eastAsia="zh-CN"/>
        </w:rPr>
        <w:t>（2）若有任意一项指标不满足技术要求</w:t>
      </w:r>
      <w:bookmarkStart w:id="0" w:name="_GoBack"/>
      <w:bookmarkEnd w:id="0"/>
      <w:r>
        <w:rPr>
          <w:rFonts w:hint="eastAsia" w:ascii="宋体" w:hAnsi="宋体" w:eastAsia="宋体" w:cs="宋体"/>
          <w:lang w:val="en-US" w:eastAsia="zh-CN"/>
        </w:rPr>
        <w:t>，或佐证材料缺失、无效，判定为验收不合格，供货方需在采购方要求的期限内完成整改并重新组织验收，直至所有指标符合要求。</w:t>
      </w:r>
    </w:p>
    <w:p w14:paraId="68287A8D">
      <w:pPr>
        <w:rPr>
          <w:rFonts w:hint="default"/>
          <w:b/>
          <w:bCs/>
          <w:lang w:val="en-US" w:eastAsia="zh-CN"/>
        </w:rPr>
      </w:pPr>
      <w:r>
        <w:rPr>
          <w:rFonts w:hint="eastAsia"/>
          <w:b/>
          <w:bCs/>
          <w:lang w:val="en-US" w:eastAsia="zh-CN"/>
        </w:rPr>
        <w:t>二、验收条件：</w:t>
      </w:r>
    </w:p>
    <w:p w14:paraId="32E4C4CA">
      <w:pPr>
        <w:rPr>
          <w:b/>
          <w:bCs w:val="0"/>
          <w:highlight w:val="none"/>
        </w:rPr>
      </w:pPr>
      <w:r>
        <w:rPr>
          <w:rFonts w:ascii="宋体" w:hAnsi="宋体" w:cs="宋体"/>
          <w:b/>
          <w:bCs w:val="0"/>
          <w:sz w:val="24"/>
          <w:szCs w:val="24"/>
          <w:highlight w:val="none"/>
        </w:rPr>
        <w:t>高精度立体成像系统</w:t>
      </w:r>
      <w:r>
        <w:rPr>
          <w:rFonts w:hint="eastAsia" w:ascii="宋体" w:hAnsi="宋体"/>
          <w:b/>
          <w:bCs w:val="0"/>
          <w:sz w:val="24"/>
          <w:szCs w:val="24"/>
          <w:highlight w:val="none"/>
        </w:rPr>
        <w:t>硬件验收条件</w:t>
      </w:r>
      <w:r>
        <w:rPr>
          <w:rFonts w:hint="eastAsia"/>
          <w:b/>
          <w:bCs w:val="0"/>
          <w:highlight w:val="none"/>
        </w:rPr>
        <w:t>：</w:t>
      </w:r>
    </w:p>
    <w:tbl>
      <w:tblPr>
        <w:tblStyle w:val="5"/>
        <w:tblW w:w="55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450"/>
        <w:gridCol w:w="3314"/>
        <w:gridCol w:w="4138"/>
        <w:gridCol w:w="1519"/>
      </w:tblGrid>
      <w:tr w14:paraId="08AA6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5606197B">
            <w:pPr>
              <w:widowControl/>
              <w:jc w:val="center"/>
              <w:rPr>
                <w:b/>
                <w:bCs/>
              </w:rPr>
            </w:pPr>
            <w:r>
              <w:rPr>
                <w:rFonts w:hint="eastAsia" w:ascii="宋体" w:hAnsi="宋体"/>
                <w:b/>
                <w:bCs/>
                <w:kern w:val="0"/>
                <w:sz w:val="24"/>
                <w:szCs w:val="24"/>
              </w:rPr>
              <w:t>序号</w:t>
            </w:r>
          </w:p>
        </w:tc>
        <w:tc>
          <w:tcPr>
            <w:tcW w:w="1758" w:type="pct"/>
            <w:tcMar>
              <w:top w:w="96" w:type="dxa"/>
              <w:left w:w="96" w:type="dxa"/>
              <w:bottom w:w="96" w:type="dxa"/>
              <w:right w:w="96" w:type="dxa"/>
            </w:tcMar>
            <w:vAlign w:val="center"/>
          </w:tcPr>
          <w:p w14:paraId="780D5A4C">
            <w:pPr>
              <w:widowControl/>
              <w:jc w:val="center"/>
              <w:rPr>
                <w:b/>
                <w:bCs/>
              </w:rPr>
            </w:pPr>
            <w:r>
              <w:rPr>
                <w:rFonts w:hint="eastAsia" w:ascii="宋体" w:hAnsi="宋体"/>
                <w:b/>
                <w:bCs/>
                <w:kern w:val="0"/>
                <w:sz w:val="24"/>
                <w:szCs w:val="24"/>
              </w:rPr>
              <w:t>技术要求</w:t>
            </w:r>
          </w:p>
        </w:tc>
        <w:tc>
          <w:tcPr>
            <w:tcW w:w="2195" w:type="pct"/>
            <w:tcMar>
              <w:top w:w="96" w:type="dxa"/>
              <w:left w:w="96" w:type="dxa"/>
              <w:bottom w:w="96" w:type="dxa"/>
              <w:right w:w="96" w:type="dxa"/>
            </w:tcMar>
            <w:vAlign w:val="center"/>
          </w:tcPr>
          <w:p w14:paraId="7955B435">
            <w:pPr>
              <w:widowControl/>
              <w:jc w:val="center"/>
              <w:rPr>
                <w:b/>
                <w:bCs/>
              </w:rPr>
            </w:pPr>
            <w:r>
              <w:rPr>
                <w:rFonts w:hint="eastAsia" w:ascii="宋体" w:hAnsi="宋体"/>
                <w:b/>
                <w:bCs/>
                <w:kern w:val="0"/>
                <w:sz w:val="24"/>
                <w:szCs w:val="24"/>
              </w:rPr>
              <w:t>验收方法与验收标准</w:t>
            </w:r>
          </w:p>
        </w:tc>
        <w:tc>
          <w:tcPr>
            <w:tcW w:w="806" w:type="pct"/>
            <w:tcMar>
              <w:top w:w="96" w:type="dxa"/>
              <w:left w:w="96" w:type="dxa"/>
              <w:bottom w:w="96" w:type="dxa"/>
              <w:right w:w="96" w:type="dxa"/>
            </w:tcMar>
            <w:vAlign w:val="center"/>
          </w:tcPr>
          <w:p w14:paraId="7405306B">
            <w:pPr>
              <w:widowControl/>
              <w:jc w:val="center"/>
              <w:rPr>
                <w:b/>
                <w:bCs/>
              </w:rPr>
            </w:pPr>
            <w:r>
              <w:rPr>
                <w:rFonts w:hint="eastAsia" w:ascii="宋体" w:hAnsi="宋体"/>
                <w:b/>
                <w:bCs/>
                <w:kern w:val="0"/>
                <w:sz w:val="24"/>
                <w:szCs w:val="24"/>
              </w:rPr>
              <w:t>需提供佐证材料</w:t>
            </w:r>
          </w:p>
        </w:tc>
      </w:tr>
      <w:tr w14:paraId="71B9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131A678B">
            <w:pPr>
              <w:widowControl/>
              <w:jc w:val="center"/>
            </w:pPr>
            <w:r>
              <w:rPr>
                <w:rFonts w:hint="eastAsia" w:ascii="宋体" w:hAnsi="宋体"/>
                <w:kern w:val="0"/>
                <w:sz w:val="24"/>
                <w:szCs w:val="24"/>
              </w:rPr>
              <w:t>1</w:t>
            </w:r>
          </w:p>
        </w:tc>
        <w:tc>
          <w:tcPr>
            <w:tcW w:w="1758" w:type="pct"/>
            <w:tcMar>
              <w:top w:w="96" w:type="dxa"/>
              <w:left w:w="96" w:type="dxa"/>
              <w:bottom w:w="96" w:type="dxa"/>
              <w:right w:w="96" w:type="dxa"/>
            </w:tcMar>
            <w:vAlign w:val="center"/>
          </w:tcPr>
          <w:p w14:paraId="2ED57D89">
            <w:pPr>
              <w:widowControl/>
              <w:jc w:val="center"/>
            </w:pPr>
            <w:r>
              <w:rPr>
                <w:rFonts w:hint="eastAsia" w:ascii="宋体" w:hAnsi="宋体"/>
                <w:kern w:val="0"/>
                <w:sz w:val="24"/>
                <w:szCs w:val="24"/>
              </w:rPr>
              <w:t>激光安全性：1 级（符合 IEC 60825-1:2014）</w:t>
            </w:r>
          </w:p>
        </w:tc>
        <w:tc>
          <w:tcPr>
            <w:tcW w:w="2195" w:type="pct"/>
            <w:tcMar>
              <w:top w:w="96" w:type="dxa"/>
              <w:left w:w="96" w:type="dxa"/>
              <w:bottom w:w="96" w:type="dxa"/>
              <w:right w:w="96" w:type="dxa"/>
            </w:tcMar>
            <w:vAlign w:val="center"/>
          </w:tcPr>
          <w:p w14:paraId="4AFED3BF">
            <w:pPr>
              <w:widowControl/>
              <w:jc w:val="center"/>
            </w:pPr>
            <w:r>
              <w:rPr>
                <w:rFonts w:hint="eastAsia" w:ascii="宋体" w:hAnsi="宋体"/>
                <w:kern w:val="0"/>
                <w:sz w:val="24"/>
                <w:szCs w:val="24"/>
              </w:rPr>
              <w:t>核查设备出厂检测报告、激光安全认证文件，确认设备激光等级为 Class 1，符合 IEC 60825-1:2014 标准，现场无安全隐患。</w:t>
            </w:r>
          </w:p>
        </w:tc>
        <w:tc>
          <w:tcPr>
            <w:tcW w:w="806" w:type="pct"/>
            <w:tcMar>
              <w:top w:w="96" w:type="dxa"/>
              <w:left w:w="96" w:type="dxa"/>
              <w:bottom w:w="96" w:type="dxa"/>
              <w:right w:w="96" w:type="dxa"/>
            </w:tcMar>
            <w:vAlign w:val="center"/>
          </w:tcPr>
          <w:p w14:paraId="0CB5BB5C">
            <w:pPr>
              <w:widowControl/>
              <w:jc w:val="center"/>
            </w:pPr>
            <w:r>
              <w:rPr>
                <w:rFonts w:hint="eastAsia" w:ascii="宋体" w:hAnsi="宋体"/>
                <w:kern w:val="0"/>
                <w:sz w:val="24"/>
                <w:szCs w:val="24"/>
              </w:rPr>
              <w:t>否</w:t>
            </w:r>
          </w:p>
        </w:tc>
      </w:tr>
      <w:tr w14:paraId="4D35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1B919B6A">
            <w:pPr>
              <w:widowControl/>
              <w:jc w:val="center"/>
            </w:pPr>
            <w:r>
              <w:rPr>
                <w:rFonts w:hint="eastAsia" w:ascii="宋体" w:hAnsi="宋体"/>
                <w:kern w:val="0"/>
                <w:sz w:val="24"/>
                <w:szCs w:val="24"/>
              </w:rPr>
              <w:t>2</w:t>
            </w:r>
          </w:p>
        </w:tc>
        <w:tc>
          <w:tcPr>
            <w:tcW w:w="1758" w:type="pct"/>
            <w:tcMar>
              <w:top w:w="96" w:type="dxa"/>
              <w:left w:w="96" w:type="dxa"/>
              <w:bottom w:w="96" w:type="dxa"/>
              <w:right w:w="96" w:type="dxa"/>
            </w:tcMar>
            <w:vAlign w:val="center"/>
          </w:tcPr>
          <w:p w14:paraId="51237241">
            <w:pPr>
              <w:widowControl/>
              <w:jc w:val="center"/>
            </w:pPr>
            <w:r>
              <w:rPr>
                <w:rFonts w:hint="eastAsia" w:ascii="宋体" w:hAnsi="宋体"/>
                <w:kern w:val="0"/>
                <w:sz w:val="24"/>
                <w:szCs w:val="24"/>
              </w:rPr>
              <w:t>最大扫描距离≥140m，最小扫描距离≤0.5m</w:t>
            </w:r>
          </w:p>
        </w:tc>
        <w:tc>
          <w:tcPr>
            <w:tcW w:w="2195" w:type="pct"/>
            <w:tcMar>
              <w:top w:w="96" w:type="dxa"/>
              <w:left w:w="96" w:type="dxa"/>
              <w:bottom w:w="96" w:type="dxa"/>
              <w:right w:w="96" w:type="dxa"/>
            </w:tcMar>
            <w:vAlign w:val="center"/>
          </w:tcPr>
          <w:p w14:paraId="0B13AFC8">
            <w:pPr>
              <w:widowControl/>
              <w:jc w:val="center"/>
            </w:pPr>
            <w:r>
              <w:rPr>
                <w:rFonts w:hint="eastAsia" w:ascii="宋体" w:hAnsi="宋体"/>
                <w:kern w:val="0"/>
                <w:sz w:val="24"/>
                <w:szCs w:val="24"/>
              </w:rPr>
              <w:t>现场设置不同距离的标靶，实测设备最大有效扫描距离、最小有效扫描距离，结果需满足技术要求；核查设备原厂技术规格书。</w:t>
            </w:r>
          </w:p>
        </w:tc>
        <w:tc>
          <w:tcPr>
            <w:tcW w:w="806" w:type="pct"/>
            <w:tcMar>
              <w:top w:w="96" w:type="dxa"/>
              <w:left w:w="96" w:type="dxa"/>
              <w:bottom w:w="96" w:type="dxa"/>
              <w:right w:w="96" w:type="dxa"/>
            </w:tcMar>
            <w:vAlign w:val="center"/>
          </w:tcPr>
          <w:p w14:paraId="478B8357">
            <w:pPr>
              <w:widowControl/>
              <w:jc w:val="center"/>
            </w:pPr>
            <w:r>
              <w:rPr>
                <w:rFonts w:hint="eastAsia" w:ascii="宋体" w:hAnsi="宋体"/>
                <w:kern w:val="0"/>
                <w:sz w:val="24"/>
                <w:szCs w:val="24"/>
              </w:rPr>
              <w:t>否</w:t>
            </w:r>
          </w:p>
        </w:tc>
      </w:tr>
      <w:tr w14:paraId="13931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12B38B63">
            <w:pPr>
              <w:widowControl/>
              <w:jc w:val="center"/>
            </w:pPr>
            <w:r>
              <w:rPr>
                <w:rFonts w:hint="eastAsia" w:ascii="宋体" w:hAnsi="宋体"/>
                <w:kern w:val="0"/>
                <w:sz w:val="24"/>
                <w:szCs w:val="24"/>
              </w:rPr>
              <w:t>3</w:t>
            </w:r>
          </w:p>
        </w:tc>
        <w:tc>
          <w:tcPr>
            <w:tcW w:w="1758" w:type="pct"/>
            <w:tcMar>
              <w:top w:w="96" w:type="dxa"/>
              <w:left w:w="96" w:type="dxa"/>
              <w:bottom w:w="96" w:type="dxa"/>
              <w:right w:w="96" w:type="dxa"/>
            </w:tcMar>
            <w:vAlign w:val="center"/>
          </w:tcPr>
          <w:p w14:paraId="11B1B1C8">
            <w:pPr>
              <w:widowControl/>
              <w:jc w:val="center"/>
            </w:pPr>
            <w:r>
              <w:rPr>
                <w:rFonts w:hint="eastAsia" w:ascii="宋体" w:hAnsi="宋体"/>
                <w:kern w:val="0"/>
                <w:sz w:val="24"/>
                <w:szCs w:val="24"/>
              </w:rPr>
              <w:t>扫描视角：水平 360°，垂直≥300°</w:t>
            </w:r>
          </w:p>
        </w:tc>
        <w:tc>
          <w:tcPr>
            <w:tcW w:w="2195" w:type="pct"/>
            <w:tcMar>
              <w:top w:w="96" w:type="dxa"/>
              <w:left w:w="96" w:type="dxa"/>
              <w:bottom w:w="96" w:type="dxa"/>
              <w:right w:w="96" w:type="dxa"/>
            </w:tcMar>
            <w:vAlign w:val="center"/>
          </w:tcPr>
          <w:p w14:paraId="35CAD0AE">
            <w:pPr>
              <w:widowControl/>
              <w:jc w:val="center"/>
            </w:pPr>
            <w:r>
              <w:rPr>
                <w:rFonts w:hint="eastAsia" w:ascii="宋体" w:hAnsi="宋体"/>
                <w:kern w:val="0"/>
                <w:sz w:val="24"/>
                <w:szCs w:val="24"/>
              </w:rPr>
              <w:t>现场实测设备水平、垂直扫描覆盖范围，确认水平可实现 360° 无死角扫描，垂直扫描角度不低于 300°；核查设备技术手册。</w:t>
            </w:r>
          </w:p>
        </w:tc>
        <w:tc>
          <w:tcPr>
            <w:tcW w:w="806" w:type="pct"/>
            <w:tcMar>
              <w:top w:w="96" w:type="dxa"/>
              <w:left w:w="96" w:type="dxa"/>
              <w:bottom w:w="96" w:type="dxa"/>
              <w:right w:w="96" w:type="dxa"/>
            </w:tcMar>
            <w:vAlign w:val="center"/>
          </w:tcPr>
          <w:p w14:paraId="71C529C4">
            <w:pPr>
              <w:widowControl/>
              <w:jc w:val="center"/>
            </w:pPr>
            <w:r>
              <w:rPr>
                <w:rFonts w:hint="eastAsia" w:ascii="宋体" w:hAnsi="宋体"/>
                <w:kern w:val="0"/>
                <w:sz w:val="24"/>
                <w:szCs w:val="24"/>
              </w:rPr>
              <w:t>否</w:t>
            </w:r>
          </w:p>
        </w:tc>
      </w:tr>
      <w:tr w14:paraId="08FAC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790816E1">
            <w:pPr>
              <w:widowControl/>
              <w:jc w:val="center"/>
            </w:pPr>
            <w:r>
              <w:rPr>
                <w:rFonts w:hint="eastAsia" w:ascii="宋体" w:hAnsi="宋体"/>
                <w:kern w:val="0"/>
                <w:sz w:val="24"/>
                <w:szCs w:val="24"/>
              </w:rPr>
              <w:t>4</w:t>
            </w:r>
          </w:p>
        </w:tc>
        <w:tc>
          <w:tcPr>
            <w:tcW w:w="1758" w:type="pct"/>
            <w:tcMar>
              <w:top w:w="96" w:type="dxa"/>
              <w:left w:w="96" w:type="dxa"/>
              <w:bottom w:w="96" w:type="dxa"/>
              <w:right w:w="96" w:type="dxa"/>
            </w:tcMar>
            <w:vAlign w:val="center"/>
          </w:tcPr>
          <w:p w14:paraId="7709A614">
            <w:pPr>
              <w:widowControl/>
              <w:jc w:val="center"/>
            </w:pPr>
            <w:r>
              <w:rPr>
                <w:rFonts w:hint="eastAsia" w:ascii="宋体" w:hAnsi="宋体"/>
                <w:kern w:val="0"/>
                <w:sz w:val="24"/>
                <w:szCs w:val="24"/>
              </w:rPr>
              <w:t>扫描速度：最大扫描速率≥180 万点 / 秒，单站扫描和拍照用时最少 90 秒</w:t>
            </w:r>
          </w:p>
        </w:tc>
        <w:tc>
          <w:tcPr>
            <w:tcW w:w="2195" w:type="pct"/>
            <w:tcMar>
              <w:top w:w="96" w:type="dxa"/>
              <w:left w:w="96" w:type="dxa"/>
              <w:bottom w:w="96" w:type="dxa"/>
              <w:right w:w="96" w:type="dxa"/>
            </w:tcMar>
            <w:vAlign w:val="center"/>
          </w:tcPr>
          <w:p w14:paraId="04C94957">
            <w:pPr>
              <w:widowControl/>
              <w:jc w:val="center"/>
            </w:pPr>
            <w:r>
              <w:rPr>
                <w:rFonts w:hint="eastAsia" w:ascii="宋体" w:hAnsi="宋体"/>
                <w:kern w:val="0"/>
                <w:sz w:val="24"/>
                <w:szCs w:val="24"/>
              </w:rPr>
              <w:t>通过设备控制软件查看并记录设备最大点云采集速率，确认不低于 180 万点 / 秒；现场完成一次标准单站扫描 + 全景拍照流程，记录完成时间，确认用时不超过 90 秒。</w:t>
            </w:r>
          </w:p>
        </w:tc>
        <w:tc>
          <w:tcPr>
            <w:tcW w:w="806" w:type="pct"/>
            <w:tcMar>
              <w:top w:w="96" w:type="dxa"/>
              <w:left w:w="96" w:type="dxa"/>
              <w:bottom w:w="96" w:type="dxa"/>
              <w:right w:w="96" w:type="dxa"/>
            </w:tcMar>
            <w:vAlign w:val="center"/>
          </w:tcPr>
          <w:p w14:paraId="71E8DD1B">
            <w:pPr>
              <w:widowControl/>
              <w:jc w:val="center"/>
            </w:pPr>
            <w:r>
              <w:rPr>
                <w:rFonts w:hint="eastAsia" w:ascii="宋体" w:hAnsi="宋体"/>
                <w:kern w:val="0"/>
                <w:sz w:val="24"/>
                <w:szCs w:val="24"/>
              </w:rPr>
              <w:t>否</w:t>
            </w:r>
          </w:p>
        </w:tc>
      </w:tr>
      <w:tr w14:paraId="70460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5C8C35C1">
            <w:pPr>
              <w:widowControl/>
              <w:jc w:val="center"/>
            </w:pPr>
            <w:r>
              <w:rPr>
                <w:rFonts w:hint="eastAsia" w:ascii="宋体" w:hAnsi="宋体"/>
                <w:kern w:val="0"/>
                <w:sz w:val="24"/>
                <w:szCs w:val="24"/>
              </w:rPr>
              <w:t>5</w:t>
            </w:r>
          </w:p>
        </w:tc>
        <w:tc>
          <w:tcPr>
            <w:tcW w:w="1758" w:type="pct"/>
            <w:tcMar>
              <w:top w:w="96" w:type="dxa"/>
              <w:left w:w="96" w:type="dxa"/>
              <w:bottom w:w="96" w:type="dxa"/>
              <w:right w:w="96" w:type="dxa"/>
            </w:tcMar>
            <w:vAlign w:val="center"/>
          </w:tcPr>
          <w:p w14:paraId="5EEC13DA">
            <w:pPr>
              <w:widowControl/>
              <w:jc w:val="center"/>
            </w:pPr>
            <w:r>
              <w:rPr>
                <w:rFonts w:hint="eastAsia" w:ascii="宋体" w:hAnsi="宋体"/>
                <w:kern w:val="0"/>
                <w:sz w:val="24"/>
                <w:szCs w:val="24"/>
              </w:rPr>
              <w:t>测距精度≤1mm±10ppm；测角精度≤15″；点位精度≤1.5mm@10m；噪音精度≤0.4mm@10m</w:t>
            </w:r>
          </w:p>
        </w:tc>
        <w:tc>
          <w:tcPr>
            <w:tcW w:w="2195" w:type="pct"/>
            <w:tcMar>
              <w:top w:w="96" w:type="dxa"/>
              <w:left w:w="96" w:type="dxa"/>
              <w:bottom w:w="96" w:type="dxa"/>
              <w:right w:w="96" w:type="dxa"/>
            </w:tcMar>
            <w:vAlign w:val="center"/>
          </w:tcPr>
          <w:p w14:paraId="495B642E">
            <w:pPr>
              <w:widowControl/>
              <w:jc w:val="center"/>
            </w:pPr>
            <w:r>
              <w:rPr>
                <w:rFonts w:hint="eastAsia" w:ascii="宋体" w:hAnsi="宋体"/>
                <w:kern w:val="0"/>
                <w:sz w:val="24"/>
                <w:szCs w:val="24"/>
              </w:rPr>
              <w:t>使用标准标距、高精度测角设备，在标准距离（10m 及不同距离）下，对设备的测距、测角、点位、噪音精度进行实测验证，各项指标需满足要求；提供第三方权威检测报告或原厂精度校准报告。</w:t>
            </w:r>
          </w:p>
        </w:tc>
        <w:tc>
          <w:tcPr>
            <w:tcW w:w="806" w:type="pct"/>
            <w:tcMar>
              <w:top w:w="96" w:type="dxa"/>
              <w:left w:w="96" w:type="dxa"/>
              <w:bottom w:w="96" w:type="dxa"/>
              <w:right w:w="96" w:type="dxa"/>
            </w:tcMar>
            <w:vAlign w:val="center"/>
          </w:tcPr>
          <w:p w14:paraId="1449E900">
            <w:pPr>
              <w:widowControl/>
              <w:jc w:val="center"/>
            </w:pPr>
            <w:r>
              <w:rPr>
                <w:rFonts w:hint="eastAsia" w:ascii="宋体" w:hAnsi="宋体"/>
                <w:kern w:val="0"/>
                <w:sz w:val="24"/>
                <w:szCs w:val="24"/>
              </w:rPr>
              <w:t>是</w:t>
            </w:r>
          </w:p>
        </w:tc>
      </w:tr>
      <w:tr w14:paraId="583E4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3809D9A5">
            <w:pPr>
              <w:widowControl/>
              <w:jc w:val="center"/>
            </w:pPr>
            <w:r>
              <w:rPr>
                <w:rFonts w:hint="eastAsia" w:ascii="宋体" w:hAnsi="宋体"/>
                <w:kern w:val="0"/>
                <w:sz w:val="24"/>
                <w:szCs w:val="24"/>
              </w:rPr>
              <w:t>6</w:t>
            </w:r>
          </w:p>
        </w:tc>
        <w:tc>
          <w:tcPr>
            <w:tcW w:w="1758" w:type="pct"/>
            <w:tcMar>
              <w:top w:w="96" w:type="dxa"/>
              <w:left w:w="96" w:type="dxa"/>
              <w:bottom w:w="96" w:type="dxa"/>
              <w:right w:w="96" w:type="dxa"/>
            </w:tcMar>
            <w:vAlign w:val="center"/>
          </w:tcPr>
          <w:p w14:paraId="064348EC">
            <w:pPr>
              <w:widowControl/>
              <w:jc w:val="center"/>
            </w:pPr>
            <w:r>
              <w:rPr>
                <w:rFonts w:hint="eastAsia" w:ascii="宋体" w:hAnsi="宋体"/>
                <w:kern w:val="0"/>
                <w:sz w:val="24"/>
                <w:szCs w:val="24"/>
              </w:rPr>
              <w:t>内置 5 级 HDR 相机，全景照片像素不小于 4 亿像素</w:t>
            </w:r>
          </w:p>
        </w:tc>
        <w:tc>
          <w:tcPr>
            <w:tcW w:w="2195" w:type="pct"/>
            <w:tcMar>
              <w:top w:w="96" w:type="dxa"/>
              <w:left w:w="96" w:type="dxa"/>
              <w:bottom w:w="96" w:type="dxa"/>
              <w:right w:w="96" w:type="dxa"/>
            </w:tcMar>
            <w:vAlign w:val="center"/>
          </w:tcPr>
          <w:p w14:paraId="39282ECD">
            <w:pPr>
              <w:widowControl/>
              <w:jc w:val="center"/>
            </w:pPr>
            <w:r>
              <w:rPr>
                <w:rFonts w:hint="eastAsia" w:ascii="宋体" w:hAnsi="宋体"/>
                <w:kern w:val="0"/>
                <w:sz w:val="24"/>
                <w:szCs w:val="24"/>
              </w:rPr>
              <w:t>现场拍摄全景照片，通过设备软件查看照片分辨率、像素参数，确认相机支持 5 级 HDR，全景照片总像素不低于 4 亿；核查相机规格说明文件。</w:t>
            </w:r>
          </w:p>
        </w:tc>
        <w:tc>
          <w:tcPr>
            <w:tcW w:w="806" w:type="pct"/>
            <w:tcMar>
              <w:top w:w="96" w:type="dxa"/>
              <w:left w:w="96" w:type="dxa"/>
              <w:bottom w:w="96" w:type="dxa"/>
              <w:right w:w="96" w:type="dxa"/>
            </w:tcMar>
            <w:vAlign w:val="center"/>
          </w:tcPr>
          <w:p w14:paraId="7988F949">
            <w:pPr>
              <w:widowControl/>
              <w:jc w:val="center"/>
            </w:pPr>
            <w:r>
              <w:rPr>
                <w:rFonts w:hint="eastAsia" w:ascii="宋体" w:hAnsi="宋体"/>
                <w:kern w:val="0"/>
                <w:sz w:val="24"/>
                <w:szCs w:val="24"/>
              </w:rPr>
              <w:t>是</w:t>
            </w:r>
          </w:p>
        </w:tc>
      </w:tr>
      <w:tr w14:paraId="0D912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27D30D83">
            <w:pPr>
              <w:widowControl/>
              <w:jc w:val="center"/>
            </w:pPr>
            <w:r>
              <w:rPr>
                <w:rFonts w:hint="eastAsia" w:ascii="宋体" w:hAnsi="宋体"/>
                <w:kern w:val="0"/>
                <w:sz w:val="24"/>
                <w:szCs w:val="24"/>
              </w:rPr>
              <w:t>7</w:t>
            </w:r>
          </w:p>
        </w:tc>
        <w:tc>
          <w:tcPr>
            <w:tcW w:w="1758" w:type="pct"/>
            <w:tcMar>
              <w:top w:w="96" w:type="dxa"/>
              <w:left w:w="96" w:type="dxa"/>
              <w:bottom w:w="96" w:type="dxa"/>
              <w:right w:w="96" w:type="dxa"/>
            </w:tcMar>
            <w:vAlign w:val="center"/>
          </w:tcPr>
          <w:p w14:paraId="12B66124">
            <w:pPr>
              <w:widowControl/>
              <w:jc w:val="center"/>
            </w:pPr>
            <w:r>
              <w:rPr>
                <w:rFonts w:hint="eastAsia" w:ascii="宋体" w:hAnsi="宋体"/>
                <w:kern w:val="0"/>
                <w:sz w:val="24"/>
                <w:szCs w:val="24"/>
              </w:rPr>
              <w:t>内置视觉追踪相机，可实时跟踪计算扫描测站相对于前一个测站的相对位置，辅助实现相邻测站间扫描点云自动化拼接</w:t>
            </w:r>
          </w:p>
        </w:tc>
        <w:tc>
          <w:tcPr>
            <w:tcW w:w="2195" w:type="pct"/>
            <w:tcMar>
              <w:top w:w="96" w:type="dxa"/>
              <w:left w:w="96" w:type="dxa"/>
              <w:bottom w:w="96" w:type="dxa"/>
              <w:right w:w="96" w:type="dxa"/>
            </w:tcMar>
            <w:vAlign w:val="center"/>
          </w:tcPr>
          <w:p w14:paraId="1DED819A">
            <w:pPr>
              <w:widowControl/>
              <w:jc w:val="center"/>
            </w:pPr>
            <w:r>
              <w:rPr>
                <w:rFonts w:hint="eastAsia" w:ascii="宋体" w:hAnsi="宋体"/>
                <w:kern w:val="0"/>
                <w:sz w:val="24"/>
                <w:szCs w:val="24"/>
              </w:rPr>
              <w:t>在多站点扫描场景下，设置 2 个及以上相邻测站，启用设备内置视觉追踪功能，测试设备是否可自动识别测站相对位置，完成点云自动化拼接，无需人工干预；提供功能说明与测试报告。</w:t>
            </w:r>
          </w:p>
        </w:tc>
        <w:tc>
          <w:tcPr>
            <w:tcW w:w="806" w:type="pct"/>
            <w:tcMar>
              <w:top w:w="96" w:type="dxa"/>
              <w:left w:w="96" w:type="dxa"/>
              <w:bottom w:w="96" w:type="dxa"/>
              <w:right w:w="96" w:type="dxa"/>
            </w:tcMar>
            <w:vAlign w:val="center"/>
          </w:tcPr>
          <w:p w14:paraId="533739FA">
            <w:pPr>
              <w:widowControl/>
              <w:jc w:val="center"/>
            </w:pPr>
            <w:r>
              <w:rPr>
                <w:rFonts w:hint="eastAsia" w:ascii="宋体" w:hAnsi="宋体"/>
                <w:kern w:val="0"/>
                <w:sz w:val="24"/>
                <w:szCs w:val="24"/>
              </w:rPr>
              <w:t>是</w:t>
            </w:r>
          </w:p>
        </w:tc>
      </w:tr>
      <w:tr w14:paraId="48A2F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32F5C68B">
            <w:pPr>
              <w:widowControl/>
              <w:jc w:val="center"/>
            </w:pPr>
            <w:r>
              <w:rPr>
                <w:rFonts w:hint="eastAsia" w:ascii="宋体" w:hAnsi="宋体"/>
                <w:kern w:val="0"/>
                <w:sz w:val="24"/>
                <w:szCs w:val="24"/>
              </w:rPr>
              <w:t>8</w:t>
            </w:r>
          </w:p>
        </w:tc>
        <w:tc>
          <w:tcPr>
            <w:tcW w:w="1758" w:type="pct"/>
            <w:tcMar>
              <w:top w:w="96" w:type="dxa"/>
              <w:left w:w="96" w:type="dxa"/>
              <w:bottom w:w="96" w:type="dxa"/>
              <w:right w:w="96" w:type="dxa"/>
            </w:tcMar>
            <w:vAlign w:val="center"/>
          </w:tcPr>
          <w:p w14:paraId="58835E18">
            <w:pPr>
              <w:widowControl/>
              <w:jc w:val="center"/>
            </w:pPr>
            <w:r>
              <w:rPr>
                <w:rFonts w:hint="eastAsia" w:ascii="宋体" w:hAnsi="宋体"/>
                <w:kern w:val="0"/>
                <w:sz w:val="24"/>
                <w:szCs w:val="24"/>
              </w:rPr>
              <w:t>内置高精度惯性测量单元（IMU），支持实时姿态与倾斜精度补偿，补偿精度不低于 18″，补偿范围不低于 10°</w:t>
            </w:r>
          </w:p>
        </w:tc>
        <w:tc>
          <w:tcPr>
            <w:tcW w:w="2195" w:type="pct"/>
            <w:tcMar>
              <w:top w:w="96" w:type="dxa"/>
              <w:left w:w="96" w:type="dxa"/>
              <w:bottom w:w="96" w:type="dxa"/>
              <w:right w:w="96" w:type="dxa"/>
            </w:tcMar>
            <w:vAlign w:val="center"/>
          </w:tcPr>
          <w:p w14:paraId="51C5B9F9">
            <w:pPr>
              <w:widowControl/>
              <w:jc w:val="center"/>
            </w:pPr>
            <w:r>
              <w:rPr>
                <w:rFonts w:hint="eastAsia" w:ascii="宋体" w:hAnsi="宋体"/>
                <w:kern w:val="0"/>
                <w:sz w:val="24"/>
                <w:szCs w:val="24"/>
              </w:rPr>
              <w:t>将设备倾斜至补偿范围内的不同角度，测试设备实时姿态与倾斜补偿功能，核查补偿后数据精度，确认补偿精度不低于 18″，补偿范围不低于 10°；提供设备内部 IMU 传感器的陀螺仪零偏稳定性、加速度计精度等关键硬件参数指标，以及基于该 IMU 的官方精度测试或校准报告。</w:t>
            </w:r>
          </w:p>
        </w:tc>
        <w:tc>
          <w:tcPr>
            <w:tcW w:w="806" w:type="pct"/>
            <w:tcMar>
              <w:top w:w="96" w:type="dxa"/>
              <w:left w:w="96" w:type="dxa"/>
              <w:bottom w:w="96" w:type="dxa"/>
              <w:right w:w="96" w:type="dxa"/>
            </w:tcMar>
            <w:vAlign w:val="center"/>
          </w:tcPr>
          <w:p w14:paraId="55A0FB84">
            <w:pPr>
              <w:widowControl/>
              <w:jc w:val="center"/>
            </w:pPr>
            <w:r>
              <w:rPr>
                <w:rFonts w:hint="eastAsia" w:ascii="宋体" w:hAnsi="宋体"/>
                <w:kern w:val="0"/>
                <w:sz w:val="24"/>
                <w:szCs w:val="24"/>
              </w:rPr>
              <w:t>是</w:t>
            </w:r>
          </w:p>
        </w:tc>
      </w:tr>
      <w:tr w14:paraId="52D61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23A75839">
            <w:pPr>
              <w:widowControl/>
              <w:jc w:val="center"/>
            </w:pPr>
            <w:r>
              <w:rPr>
                <w:rFonts w:hint="eastAsia" w:ascii="宋体" w:hAnsi="宋体"/>
                <w:kern w:val="0"/>
                <w:sz w:val="24"/>
                <w:szCs w:val="24"/>
              </w:rPr>
              <w:t>9</w:t>
            </w:r>
          </w:p>
        </w:tc>
        <w:tc>
          <w:tcPr>
            <w:tcW w:w="1758" w:type="pct"/>
            <w:tcMar>
              <w:top w:w="96" w:type="dxa"/>
              <w:left w:w="96" w:type="dxa"/>
              <w:bottom w:w="96" w:type="dxa"/>
              <w:right w:w="96" w:type="dxa"/>
            </w:tcMar>
            <w:vAlign w:val="center"/>
          </w:tcPr>
          <w:p w14:paraId="229B2A39">
            <w:pPr>
              <w:widowControl/>
              <w:jc w:val="center"/>
            </w:pPr>
            <w:r>
              <w:rPr>
                <w:rFonts w:hint="eastAsia" w:ascii="宋体" w:hAnsi="宋体"/>
                <w:kern w:val="0"/>
                <w:sz w:val="24"/>
                <w:szCs w:val="24"/>
              </w:rPr>
              <w:t>多系统 GNSS 接收机：支持 GPS、北斗等多系统实时定位，提供绝对坐标初值</w:t>
            </w:r>
          </w:p>
        </w:tc>
        <w:tc>
          <w:tcPr>
            <w:tcW w:w="2195" w:type="pct"/>
            <w:tcMar>
              <w:top w:w="96" w:type="dxa"/>
              <w:left w:w="96" w:type="dxa"/>
              <w:bottom w:w="96" w:type="dxa"/>
              <w:right w:w="96" w:type="dxa"/>
            </w:tcMar>
            <w:vAlign w:val="center"/>
          </w:tcPr>
          <w:p w14:paraId="3D83F277">
            <w:pPr>
              <w:widowControl/>
              <w:jc w:val="center"/>
            </w:pPr>
            <w:r>
              <w:rPr>
                <w:rFonts w:hint="eastAsia" w:ascii="宋体" w:hAnsi="宋体"/>
                <w:kern w:val="0"/>
                <w:sz w:val="24"/>
                <w:szCs w:val="24"/>
              </w:rPr>
              <w:t>现场开启设备 GNSS 功能，测试设备对 GPS、北斗等多系统的接收能力，确认设备可通过多系统 GNSS 接收机获取稳定定位信号，并为扫描作业提供绝对坐标初值；核查设备 GNSS 模块规格说明文件。</w:t>
            </w:r>
          </w:p>
        </w:tc>
        <w:tc>
          <w:tcPr>
            <w:tcW w:w="806" w:type="pct"/>
            <w:tcMar>
              <w:top w:w="96" w:type="dxa"/>
              <w:left w:w="96" w:type="dxa"/>
              <w:bottom w:w="96" w:type="dxa"/>
              <w:right w:w="96" w:type="dxa"/>
            </w:tcMar>
            <w:vAlign w:val="center"/>
          </w:tcPr>
          <w:p w14:paraId="3D3A559B">
            <w:pPr>
              <w:widowControl/>
              <w:jc w:val="center"/>
            </w:pPr>
            <w:r>
              <w:rPr>
                <w:rFonts w:hint="eastAsia" w:ascii="宋体" w:hAnsi="宋体"/>
                <w:kern w:val="0"/>
                <w:sz w:val="24"/>
                <w:szCs w:val="24"/>
              </w:rPr>
              <w:t>否</w:t>
            </w:r>
          </w:p>
        </w:tc>
      </w:tr>
      <w:tr w14:paraId="5AE56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7BE0A6C7">
            <w:pPr>
              <w:widowControl/>
              <w:jc w:val="center"/>
            </w:pPr>
            <w:r>
              <w:rPr>
                <w:rFonts w:hint="eastAsia" w:ascii="宋体" w:hAnsi="宋体"/>
                <w:kern w:val="0"/>
                <w:sz w:val="24"/>
                <w:szCs w:val="24"/>
              </w:rPr>
              <w:t>10</w:t>
            </w:r>
          </w:p>
        </w:tc>
        <w:tc>
          <w:tcPr>
            <w:tcW w:w="1758" w:type="pct"/>
            <w:tcMar>
              <w:top w:w="96" w:type="dxa"/>
              <w:left w:w="96" w:type="dxa"/>
              <w:bottom w:w="96" w:type="dxa"/>
              <w:right w:w="96" w:type="dxa"/>
            </w:tcMar>
            <w:vAlign w:val="center"/>
          </w:tcPr>
          <w:p w14:paraId="4330A017">
            <w:pPr>
              <w:widowControl/>
              <w:jc w:val="center"/>
            </w:pPr>
            <w:r>
              <w:rPr>
                <w:rFonts w:hint="eastAsia" w:ascii="宋体" w:hAnsi="宋体"/>
                <w:kern w:val="0"/>
                <w:sz w:val="24"/>
                <w:szCs w:val="24"/>
              </w:rPr>
              <w:t>指南针和测高仪，辅助确定航向和提供高精度相对高程</w:t>
            </w:r>
          </w:p>
        </w:tc>
        <w:tc>
          <w:tcPr>
            <w:tcW w:w="2195" w:type="pct"/>
            <w:tcMar>
              <w:top w:w="96" w:type="dxa"/>
              <w:left w:w="96" w:type="dxa"/>
              <w:bottom w:w="96" w:type="dxa"/>
              <w:right w:w="96" w:type="dxa"/>
            </w:tcMar>
            <w:vAlign w:val="center"/>
          </w:tcPr>
          <w:p w14:paraId="01FF8470">
            <w:pPr>
              <w:widowControl/>
              <w:jc w:val="center"/>
            </w:pPr>
            <w:r>
              <w:rPr>
                <w:rFonts w:hint="eastAsia" w:ascii="宋体" w:hAnsi="宋体"/>
                <w:kern w:val="0"/>
                <w:sz w:val="24"/>
                <w:szCs w:val="24"/>
              </w:rPr>
              <w:t>现场测试设备内置指南针与测高仪功能，确认设备可辅助确定作业航向，并提供高精度相对高程数据；核查设备内置传感器的规格说明文件。</w:t>
            </w:r>
          </w:p>
        </w:tc>
        <w:tc>
          <w:tcPr>
            <w:tcW w:w="806" w:type="pct"/>
            <w:tcMar>
              <w:top w:w="96" w:type="dxa"/>
              <w:left w:w="96" w:type="dxa"/>
              <w:bottom w:w="96" w:type="dxa"/>
              <w:right w:w="96" w:type="dxa"/>
            </w:tcMar>
            <w:vAlign w:val="center"/>
          </w:tcPr>
          <w:p w14:paraId="33F74DBA">
            <w:pPr>
              <w:widowControl/>
              <w:jc w:val="center"/>
            </w:pPr>
            <w:r>
              <w:rPr>
                <w:rFonts w:hint="eastAsia" w:ascii="宋体" w:hAnsi="宋体"/>
                <w:kern w:val="0"/>
                <w:sz w:val="24"/>
                <w:szCs w:val="24"/>
              </w:rPr>
              <w:t>否</w:t>
            </w:r>
          </w:p>
        </w:tc>
      </w:tr>
      <w:tr w14:paraId="2963D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006F612E">
            <w:pPr>
              <w:widowControl/>
              <w:jc w:val="center"/>
            </w:pPr>
            <w:r>
              <w:rPr>
                <w:rFonts w:hint="eastAsia" w:ascii="宋体" w:hAnsi="宋体"/>
                <w:kern w:val="0"/>
                <w:sz w:val="24"/>
                <w:szCs w:val="24"/>
              </w:rPr>
              <w:t>11</w:t>
            </w:r>
          </w:p>
        </w:tc>
        <w:tc>
          <w:tcPr>
            <w:tcW w:w="1758" w:type="pct"/>
            <w:tcMar>
              <w:top w:w="96" w:type="dxa"/>
              <w:left w:w="96" w:type="dxa"/>
              <w:bottom w:w="96" w:type="dxa"/>
              <w:right w:w="96" w:type="dxa"/>
            </w:tcMar>
            <w:vAlign w:val="center"/>
          </w:tcPr>
          <w:p w14:paraId="2424FEA5">
            <w:pPr>
              <w:widowControl/>
              <w:jc w:val="center"/>
            </w:pPr>
            <w:r>
              <w:rPr>
                <w:rFonts w:hint="eastAsia" w:ascii="宋体" w:hAnsi="宋体"/>
                <w:kern w:val="0"/>
                <w:sz w:val="24"/>
                <w:szCs w:val="24"/>
              </w:rPr>
              <w:t>支持遥控工作，可通过移动端远程控制扫描仪测量、拍照，实时显示成果，可对测量数据进行拼接、标注、切片检查，支持全部的操作在便携设备上完成，无须操作扫描仪</w:t>
            </w:r>
          </w:p>
        </w:tc>
        <w:tc>
          <w:tcPr>
            <w:tcW w:w="2195" w:type="pct"/>
            <w:tcMar>
              <w:top w:w="96" w:type="dxa"/>
              <w:left w:w="96" w:type="dxa"/>
              <w:bottom w:w="96" w:type="dxa"/>
              <w:right w:w="96" w:type="dxa"/>
            </w:tcMar>
            <w:vAlign w:val="center"/>
          </w:tcPr>
          <w:p w14:paraId="15331592">
            <w:pPr>
              <w:widowControl/>
              <w:jc w:val="center"/>
            </w:pPr>
            <w:r>
              <w:rPr>
                <w:rFonts w:hint="eastAsia" w:ascii="宋体" w:hAnsi="宋体"/>
                <w:kern w:val="0"/>
                <w:sz w:val="24"/>
                <w:szCs w:val="24"/>
              </w:rPr>
              <w:t>使用指定移动端设备，连接设备后，远程发起测量、拍照指令，实时查看数据成果，测试数据拼接、标注、切片检查等功能，确认所有操作可在移动端正常执行，无需直接操作设备主机。</w:t>
            </w:r>
          </w:p>
        </w:tc>
        <w:tc>
          <w:tcPr>
            <w:tcW w:w="806" w:type="pct"/>
            <w:tcMar>
              <w:top w:w="96" w:type="dxa"/>
              <w:left w:w="96" w:type="dxa"/>
              <w:bottom w:w="96" w:type="dxa"/>
              <w:right w:w="96" w:type="dxa"/>
            </w:tcMar>
            <w:vAlign w:val="center"/>
          </w:tcPr>
          <w:p w14:paraId="407ABA31">
            <w:pPr>
              <w:widowControl/>
              <w:jc w:val="center"/>
            </w:pPr>
            <w:r>
              <w:rPr>
                <w:rFonts w:hint="eastAsia" w:ascii="宋体" w:hAnsi="宋体"/>
                <w:kern w:val="0"/>
                <w:sz w:val="24"/>
                <w:szCs w:val="24"/>
              </w:rPr>
              <w:t>否</w:t>
            </w:r>
          </w:p>
        </w:tc>
      </w:tr>
      <w:tr w14:paraId="58AE9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231E7F5C">
            <w:pPr>
              <w:widowControl/>
              <w:jc w:val="center"/>
            </w:pPr>
            <w:r>
              <w:rPr>
                <w:rFonts w:hint="eastAsia" w:ascii="宋体" w:hAnsi="宋体"/>
                <w:kern w:val="0"/>
                <w:sz w:val="24"/>
                <w:szCs w:val="24"/>
              </w:rPr>
              <w:t>12</w:t>
            </w:r>
          </w:p>
        </w:tc>
        <w:tc>
          <w:tcPr>
            <w:tcW w:w="1758" w:type="pct"/>
            <w:tcMar>
              <w:top w:w="96" w:type="dxa"/>
              <w:left w:w="96" w:type="dxa"/>
              <w:bottom w:w="96" w:type="dxa"/>
              <w:right w:w="96" w:type="dxa"/>
            </w:tcMar>
            <w:vAlign w:val="center"/>
          </w:tcPr>
          <w:p w14:paraId="515D6CB0">
            <w:pPr>
              <w:widowControl/>
              <w:jc w:val="center"/>
            </w:pPr>
            <w:r>
              <w:rPr>
                <w:rFonts w:hint="eastAsia" w:ascii="宋体" w:hAnsi="宋体"/>
                <w:kern w:val="0"/>
                <w:sz w:val="24"/>
                <w:szCs w:val="24"/>
              </w:rPr>
              <w:t>工作温度（无预热及保温措施）：-5℃～40℃，白天、夜晚均可工作；储存温度：-40℃～70℃；防尘 / 防水等级：≥IP54 标准</w:t>
            </w:r>
          </w:p>
        </w:tc>
        <w:tc>
          <w:tcPr>
            <w:tcW w:w="2195" w:type="pct"/>
            <w:tcMar>
              <w:top w:w="96" w:type="dxa"/>
              <w:left w:w="96" w:type="dxa"/>
              <w:bottom w:w="96" w:type="dxa"/>
              <w:right w:w="96" w:type="dxa"/>
            </w:tcMar>
            <w:vAlign w:val="center"/>
          </w:tcPr>
          <w:p w14:paraId="7896D21A">
            <w:pPr>
              <w:widowControl/>
              <w:jc w:val="center"/>
            </w:pPr>
            <w:r>
              <w:rPr>
                <w:rFonts w:hint="eastAsia" w:ascii="宋体" w:hAnsi="宋体"/>
                <w:kern w:val="0"/>
                <w:sz w:val="24"/>
                <w:szCs w:val="24"/>
              </w:rPr>
              <w:t>核查设备原厂 IP 防护等级认证文件、温度环境适应性测试报告，确认防护等级≥IP54，工作 / 储存温度范围满足技术要求；现场在设备允许的工作温度范围内（常温环境）正常开机运行，无异常故障。</w:t>
            </w:r>
          </w:p>
        </w:tc>
        <w:tc>
          <w:tcPr>
            <w:tcW w:w="806" w:type="pct"/>
            <w:tcMar>
              <w:top w:w="96" w:type="dxa"/>
              <w:left w:w="96" w:type="dxa"/>
              <w:bottom w:w="96" w:type="dxa"/>
              <w:right w:w="96" w:type="dxa"/>
            </w:tcMar>
            <w:vAlign w:val="center"/>
          </w:tcPr>
          <w:p w14:paraId="250729CD">
            <w:pPr>
              <w:widowControl/>
              <w:jc w:val="center"/>
            </w:pPr>
            <w:r>
              <w:rPr>
                <w:rFonts w:hint="eastAsia" w:ascii="宋体" w:hAnsi="宋体"/>
                <w:kern w:val="0"/>
                <w:sz w:val="24"/>
                <w:szCs w:val="24"/>
              </w:rPr>
              <w:t>否</w:t>
            </w:r>
          </w:p>
        </w:tc>
      </w:tr>
      <w:tr w14:paraId="2C797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09D37EF0">
            <w:pPr>
              <w:widowControl/>
              <w:jc w:val="center"/>
            </w:pPr>
            <w:r>
              <w:rPr>
                <w:rFonts w:hint="eastAsia" w:ascii="宋体" w:hAnsi="宋体"/>
                <w:kern w:val="0"/>
                <w:sz w:val="24"/>
                <w:szCs w:val="24"/>
              </w:rPr>
              <w:t>13</w:t>
            </w:r>
          </w:p>
        </w:tc>
        <w:tc>
          <w:tcPr>
            <w:tcW w:w="1758" w:type="pct"/>
            <w:tcMar>
              <w:top w:w="96" w:type="dxa"/>
              <w:left w:w="96" w:type="dxa"/>
              <w:bottom w:w="96" w:type="dxa"/>
              <w:right w:w="96" w:type="dxa"/>
            </w:tcMar>
            <w:vAlign w:val="center"/>
          </w:tcPr>
          <w:p w14:paraId="4945E368">
            <w:pPr>
              <w:widowControl/>
              <w:jc w:val="center"/>
            </w:pPr>
            <w:r>
              <w:rPr>
                <w:rFonts w:hint="eastAsia" w:ascii="宋体" w:hAnsi="宋体"/>
                <w:kern w:val="0"/>
                <w:sz w:val="24"/>
                <w:szCs w:val="24"/>
              </w:rPr>
              <w:t>机载电池供电时间不小于 4 小时，机载电池支持热插拔（更换其中 1 块电池无需关机）</w:t>
            </w:r>
          </w:p>
        </w:tc>
        <w:tc>
          <w:tcPr>
            <w:tcW w:w="2195" w:type="pct"/>
            <w:tcMar>
              <w:top w:w="96" w:type="dxa"/>
              <w:left w:w="96" w:type="dxa"/>
              <w:bottom w:w="96" w:type="dxa"/>
              <w:right w:w="96" w:type="dxa"/>
            </w:tcMar>
            <w:vAlign w:val="center"/>
          </w:tcPr>
          <w:p w14:paraId="156151AE">
            <w:pPr>
              <w:widowControl/>
              <w:jc w:val="center"/>
            </w:pPr>
            <w:r>
              <w:rPr>
                <w:rFonts w:hint="eastAsia" w:ascii="宋体" w:hAnsi="宋体"/>
                <w:kern w:val="0"/>
                <w:sz w:val="24"/>
                <w:szCs w:val="24"/>
              </w:rPr>
              <w:t>使用设备标配机载电池，在标准工作模式下连续运行，记录电池供电时长，确认不低于 4 小时；测试电池热插拔功能，更换单块电池过程中设备无需关机，可正常继续工作。</w:t>
            </w:r>
          </w:p>
        </w:tc>
        <w:tc>
          <w:tcPr>
            <w:tcW w:w="806" w:type="pct"/>
            <w:tcMar>
              <w:top w:w="96" w:type="dxa"/>
              <w:left w:w="96" w:type="dxa"/>
              <w:bottom w:w="96" w:type="dxa"/>
              <w:right w:w="96" w:type="dxa"/>
            </w:tcMar>
            <w:vAlign w:val="center"/>
          </w:tcPr>
          <w:p w14:paraId="671662FC">
            <w:pPr>
              <w:widowControl/>
              <w:jc w:val="center"/>
            </w:pPr>
            <w:r>
              <w:rPr>
                <w:rFonts w:hint="eastAsia" w:ascii="宋体" w:hAnsi="宋体"/>
                <w:kern w:val="0"/>
                <w:sz w:val="24"/>
                <w:szCs w:val="24"/>
              </w:rPr>
              <w:t>否</w:t>
            </w:r>
          </w:p>
        </w:tc>
      </w:tr>
      <w:tr w14:paraId="6B1D5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239" w:type="pct"/>
            <w:tcMar>
              <w:top w:w="96" w:type="dxa"/>
              <w:left w:w="96" w:type="dxa"/>
              <w:bottom w:w="96" w:type="dxa"/>
              <w:right w:w="96" w:type="dxa"/>
            </w:tcMar>
            <w:vAlign w:val="center"/>
          </w:tcPr>
          <w:p w14:paraId="4B7D6127">
            <w:pPr>
              <w:widowControl/>
              <w:jc w:val="center"/>
            </w:pPr>
            <w:r>
              <w:rPr>
                <w:rFonts w:hint="eastAsia" w:ascii="宋体" w:hAnsi="宋体"/>
                <w:kern w:val="0"/>
                <w:sz w:val="24"/>
                <w:szCs w:val="24"/>
              </w:rPr>
              <w:t>14</w:t>
            </w:r>
          </w:p>
        </w:tc>
        <w:tc>
          <w:tcPr>
            <w:tcW w:w="1758" w:type="pct"/>
            <w:tcMar>
              <w:top w:w="96" w:type="dxa"/>
              <w:left w:w="96" w:type="dxa"/>
              <w:bottom w:w="96" w:type="dxa"/>
              <w:right w:w="96" w:type="dxa"/>
            </w:tcMar>
            <w:vAlign w:val="center"/>
          </w:tcPr>
          <w:p w14:paraId="7461A26F">
            <w:pPr>
              <w:widowControl/>
              <w:jc w:val="center"/>
            </w:pPr>
            <w:r>
              <w:rPr>
                <w:rFonts w:hint="eastAsia" w:ascii="宋体" w:hAnsi="宋体"/>
                <w:kern w:val="0"/>
                <w:sz w:val="24"/>
                <w:szCs w:val="24"/>
              </w:rPr>
              <w:t>扫描数据存储器可热插拔（更换扫描数据存储器无需关机），标配至少 2 个，单个存储容量不小于 200GB</w:t>
            </w:r>
          </w:p>
        </w:tc>
        <w:tc>
          <w:tcPr>
            <w:tcW w:w="2195" w:type="pct"/>
            <w:tcMar>
              <w:top w:w="96" w:type="dxa"/>
              <w:left w:w="96" w:type="dxa"/>
              <w:bottom w:w="96" w:type="dxa"/>
              <w:right w:w="96" w:type="dxa"/>
            </w:tcMar>
            <w:vAlign w:val="center"/>
          </w:tcPr>
          <w:p w14:paraId="7E5E6830">
            <w:pPr>
              <w:widowControl/>
              <w:jc w:val="center"/>
            </w:pPr>
            <w:r>
              <w:rPr>
                <w:rFonts w:hint="eastAsia" w:ascii="宋体" w:hAnsi="宋体"/>
                <w:kern w:val="0"/>
                <w:sz w:val="24"/>
                <w:szCs w:val="24"/>
              </w:rPr>
              <w:t>核查设备标配数据存储器的数量、单盘容量，确认数量≥2 个，单盘容量≥200GB；现场测试存储器热插拔功能，更换过程中设备无需关机，数据不丢失、设备运行无异常。</w:t>
            </w:r>
          </w:p>
        </w:tc>
        <w:tc>
          <w:tcPr>
            <w:tcW w:w="806" w:type="pct"/>
            <w:tcMar>
              <w:top w:w="96" w:type="dxa"/>
              <w:left w:w="96" w:type="dxa"/>
              <w:bottom w:w="96" w:type="dxa"/>
              <w:right w:w="96" w:type="dxa"/>
            </w:tcMar>
            <w:vAlign w:val="center"/>
          </w:tcPr>
          <w:p w14:paraId="446DF407">
            <w:pPr>
              <w:widowControl/>
              <w:jc w:val="center"/>
            </w:pPr>
            <w:r>
              <w:rPr>
                <w:rFonts w:hint="eastAsia" w:ascii="宋体" w:hAnsi="宋体"/>
                <w:kern w:val="0"/>
                <w:sz w:val="24"/>
                <w:szCs w:val="24"/>
              </w:rPr>
              <w:t>否</w:t>
            </w:r>
          </w:p>
        </w:tc>
      </w:tr>
    </w:tbl>
    <w:p w14:paraId="0D5E39F0">
      <w:r>
        <w:t xml:space="preserve"> </w:t>
      </w:r>
    </w:p>
    <w:p w14:paraId="7D245096">
      <w:r>
        <w:t xml:space="preserve"> </w:t>
      </w:r>
    </w:p>
    <w:p w14:paraId="267969AF">
      <w:pPr>
        <w:rPr>
          <w:rFonts w:ascii="宋体" w:hAnsi="宋体"/>
          <w:b/>
          <w:bCs w:val="0"/>
          <w:sz w:val="24"/>
          <w:szCs w:val="24"/>
          <w:highlight w:val="none"/>
        </w:rPr>
      </w:pPr>
      <w:r>
        <w:rPr>
          <w:rFonts w:ascii="宋体" w:hAnsi="宋体" w:cs="宋体"/>
          <w:b/>
          <w:bCs w:val="0"/>
          <w:sz w:val="24"/>
          <w:szCs w:val="24"/>
          <w:highlight w:val="none"/>
        </w:rPr>
        <w:t>高精度立体成像系统</w:t>
      </w:r>
      <w:r>
        <w:rPr>
          <w:rFonts w:hint="eastAsia" w:ascii="宋体" w:hAnsi="宋体"/>
          <w:b/>
          <w:bCs w:val="0"/>
          <w:sz w:val="24"/>
          <w:szCs w:val="24"/>
          <w:highlight w:val="none"/>
        </w:rPr>
        <w:t>数据后处理软件验收条件</w:t>
      </w:r>
    </w:p>
    <w:tbl>
      <w:tblPr>
        <w:tblStyle w:val="5"/>
        <w:tblW w:w="55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451"/>
        <w:gridCol w:w="3579"/>
        <w:gridCol w:w="4189"/>
        <w:gridCol w:w="1202"/>
      </w:tblGrid>
      <w:tr w14:paraId="52CC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1AD815F3">
            <w:pPr>
              <w:widowControl/>
              <w:jc w:val="center"/>
              <w:rPr>
                <w:rFonts w:hint="eastAsia" w:ascii="Calibri" w:hAnsi="Calibri"/>
                <w:b/>
                <w:bCs/>
              </w:rPr>
            </w:pPr>
            <w:r>
              <w:rPr>
                <w:rFonts w:hint="eastAsia" w:ascii="宋体" w:hAnsi="宋体"/>
                <w:b/>
                <w:bCs/>
                <w:kern w:val="0"/>
                <w:sz w:val="24"/>
                <w:szCs w:val="24"/>
              </w:rPr>
              <w:t>序号</w:t>
            </w:r>
          </w:p>
        </w:tc>
        <w:tc>
          <w:tcPr>
            <w:tcW w:w="0" w:type="auto"/>
            <w:tcMar>
              <w:top w:w="96" w:type="dxa"/>
              <w:left w:w="96" w:type="dxa"/>
              <w:bottom w:w="96" w:type="dxa"/>
              <w:right w:w="96" w:type="dxa"/>
            </w:tcMar>
            <w:vAlign w:val="center"/>
          </w:tcPr>
          <w:p w14:paraId="6ECEC7AB">
            <w:pPr>
              <w:widowControl/>
              <w:jc w:val="center"/>
              <w:rPr>
                <w:b/>
                <w:bCs/>
              </w:rPr>
            </w:pPr>
            <w:r>
              <w:rPr>
                <w:rFonts w:hint="eastAsia" w:ascii="宋体" w:hAnsi="宋体"/>
                <w:b/>
                <w:bCs/>
                <w:kern w:val="0"/>
                <w:sz w:val="24"/>
                <w:szCs w:val="24"/>
              </w:rPr>
              <w:t>技术要求</w:t>
            </w:r>
          </w:p>
        </w:tc>
        <w:tc>
          <w:tcPr>
            <w:tcW w:w="2223" w:type="pct"/>
            <w:tcMar>
              <w:top w:w="96" w:type="dxa"/>
              <w:left w:w="96" w:type="dxa"/>
              <w:bottom w:w="96" w:type="dxa"/>
              <w:right w:w="96" w:type="dxa"/>
            </w:tcMar>
            <w:vAlign w:val="center"/>
          </w:tcPr>
          <w:p w14:paraId="0DCED466">
            <w:pPr>
              <w:widowControl/>
              <w:jc w:val="center"/>
              <w:rPr>
                <w:b/>
                <w:bCs/>
              </w:rPr>
            </w:pPr>
            <w:r>
              <w:rPr>
                <w:rFonts w:hint="eastAsia" w:ascii="宋体" w:hAnsi="宋体"/>
                <w:b/>
                <w:bCs/>
                <w:kern w:val="0"/>
                <w:sz w:val="24"/>
                <w:szCs w:val="24"/>
              </w:rPr>
              <w:t>验收方法与验收标准</w:t>
            </w:r>
          </w:p>
        </w:tc>
        <w:tc>
          <w:tcPr>
            <w:tcW w:w="638" w:type="pct"/>
            <w:tcMar>
              <w:top w:w="96" w:type="dxa"/>
              <w:left w:w="96" w:type="dxa"/>
              <w:bottom w:w="96" w:type="dxa"/>
              <w:right w:w="96" w:type="dxa"/>
            </w:tcMar>
            <w:vAlign w:val="center"/>
          </w:tcPr>
          <w:p w14:paraId="52B70879">
            <w:pPr>
              <w:widowControl/>
              <w:jc w:val="center"/>
              <w:rPr>
                <w:b/>
                <w:bCs/>
              </w:rPr>
            </w:pPr>
            <w:r>
              <w:rPr>
                <w:rFonts w:hint="eastAsia" w:ascii="宋体" w:hAnsi="宋体"/>
                <w:b/>
                <w:bCs/>
                <w:kern w:val="0"/>
                <w:sz w:val="24"/>
                <w:szCs w:val="24"/>
              </w:rPr>
              <w:t>需提供佐证材料</w:t>
            </w:r>
          </w:p>
        </w:tc>
      </w:tr>
      <w:tr w14:paraId="0D602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95" w:hRule="atLeast"/>
          <w:jc w:val="center"/>
        </w:trPr>
        <w:tc>
          <w:tcPr>
            <w:tcW w:w="0" w:type="auto"/>
            <w:tcMar>
              <w:top w:w="96" w:type="dxa"/>
              <w:left w:w="96" w:type="dxa"/>
              <w:bottom w:w="96" w:type="dxa"/>
              <w:right w:w="96" w:type="dxa"/>
            </w:tcMar>
            <w:vAlign w:val="center"/>
          </w:tcPr>
          <w:p w14:paraId="19883811">
            <w:pPr>
              <w:widowControl/>
              <w:jc w:val="left"/>
            </w:pPr>
            <w:r>
              <w:rPr>
                <w:rFonts w:hint="eastAsia" w:ascii="宋体" w:hAnsi="宋体"/>
                <w:kern w:val="0"/>
                <w:sz w:val="24"/>
                <w:szCs w:val="24"/>
              </w:rPr>
              <w:t>1</w:t>
            </w:r>
          </w:p>
        </w:tc>
        <w:tc>
          <w:tcPr>
            <w:tcW w:w="0" w:type="auto"/>
            <w:tcMar>
              <w:top w:w="96" w:type="dxa"/>
              <w:left w:w="96" w:type="dxa"/>
              <w:bottom w:w="96" w:type="dxa"/>
              <w:right w:w="96" w:type="dxa"/>
            </w:tcMar>
            <w:vAlign w:val="center"/>
          </w:tcPr>
          <w:p w14:paraId="19DBB3C1">
            <w:pPr>
              <w:widowControl/>
              <w:jc w:val="left"/>
            </w:pPr>
            <w:r>
              <w:rPr>
                <w:rFonts w:hint="eastAsia" w:ascii="宋体" w:hAnsi="宋体"/>
                <w:kern w:val="0"/>
                <w:sz w:val="24"/>
                <w:szCs w:val="24"/>
              </w:rPr>
              <w:t>数据处理软件支持自动识别不同角度扫描数据并自动拼接成完整点云数据；支持主流点云、模型、BIM、图像、CAD 等多种格式导入</w:t>
            </w:r>
          </w:p>
        </w:tc>
        <w:tc>
          <w:tcPr>
            <w:tcW w:w="2223" w:type="pct"/>
            <w:tcMar>
              <w:top w:w="96" w:type="dxa"/>
              <w:left w:w="96" w:type="dxa"/>
              <w:bottom w:w="96" w:type="dxa"/>
              <w:right w:w="96" w:type="dxa"/>
            </w:tcMar>
            <w:vAlign w:val="center"/>
          </w:tcPr>
          <w:p w14:paraId="1C8BA2D8">
            <w:pPr>
              <w:widowControl/>
              <w:jc w:val="left"/>
            </w:pPr>
            <w:r>
              <w:rPr>
                <w:rFonts w:hint="eastAsia" w:ascii="宋体" w:hAnsi="宋体"/>
                <w:kern w:val="0"/>
                <w:sz w:val="24"/>
                <w:szCs w:val="24"/>
              </w:rPr>
              <w:t>现场导入多站点扫描数据，测试软件自动识别、自动拼接功能，确认可生成完整点云；按技术文件列出的格式清单（asc、csv、xyz、pts、ptx、las、laz、obj、stl、rvt、ifc、jpg、dwg 等），逐一测试导入功能，所有指定格式均可正常导入、读取。</w:t>
            </w:r>
          </w:p>
        </w:tc>
        <w:tc>
          <w:tcPr>
            <w:tcW w:w="638" w:type="pct"/>
            <w:tcMar>
              <w:top w:w="96" w:type="dxa"/>
              <w:left w:w="96" w:type="dxa"/>
              <w:bottom w:w="96" w:type="dxa"/>
              <w:right w:w="96" w:type="dxa"/>
            </w:tcMar>
            <w:vAlign w:val="center"/>
          </w:tcPr>
          <w:p w14:paraId="33F306FF">
            <w:pPr>
              <w:widowControl/>
              <w:jc w:val="center"/>
            </w:pPr>
            <w:r>
              <w:rPr>
                <w:rFonts w:hint="eastAsia" w:ascii="宋体" w:hAnsi="宋体"/>
                <w:kern w:val="0"/>
                <w:sz w:val="24"/>
                <w:szCs w:val="24"/>
              </w:rPr>
              <w:t>否</w:t>
            </w:r>
          </w:p>
        </w:tc>
      </w:tr>
      <w:tr w14:paraId="1B3DA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37" w:hRule="atLeast"/>
          <w:jc w:val="center"/>
        </w:trPr>
        <w:tc>
          <w:tcPr>
            <w:tcW w:w="0" w:type="auto"/>
            <w:tcMar>
              <w:top w:w="96" w:type="dxa"/>
              <w:left w:w="96" w:type="dxa"/>
              <w:bottom w:w="96" w:type="dxa"/>
              <w:right w:w="96" w:type="dxa"/>
            </w:tcMar>
            <w:vAlign w:val="center"/>
          </w:tcPr>
          <w:p w14:paraId="3C9ACA69">
            <w:pPr>
              <w:widowControl/>
              <w:jc w:val="left"/>
            </w:pPr>
            <w:r>
              <w:rPr>
                <w:rFonts w:hint="eastAsia" w:ascii="宋体" w:hAnsi="宋体"/>
                <w:kern w:val="0"/>
                <w:sz w:val="24"/>
                <w:szCs w:val="24"/>
              </w:rPr>
              <w:t>2</w:t>
            </w:r>
          </w:p>
        </w:tc>
        <w:tc>
          <w:tcPr>
            <w:tcW w:w="0" w:type="auto"/>
            <w:tcMar>
              <w:top w:w="96" w:type="dxa"/>
              <w:left w:w="96" w:type="dxa"/>
              <w:bottom w:w="96" w:type="dxa"/>
              <w:right w:w="96" w:type="dxa"/>
            </w:tcMar>
            <w:vAlign w:val="center"/>
          </w:tcPr>
          <w:p w14:paraId="19540087">
            <w:pPr>
              <w:widowControl/>
              <w:jc w:val="left"/>
            </w:pPr>
            <w:r>
              <w:rPr>
                <w:rFonts w:hint="eastAsia" w:ascii="宋体" w:hAnsi="宋体"/>
                <w:kern w:val="0"/>
                <w:sz w:val="24"/>
                <w:szCs w:val="24"/>
              </w:rPr>
              <w:t>具备管线及钢结构等自动建模、点云最佳匹配生成模型、第三方照片映射到点云上、正射影像图生成、三维动画功能；可实现管道点云数据自动提取、弯管自动拟合、不同管径直管连接、管径获取、弯管半径与角度获取等功能</w:t>
            </w:r>
          </w:p>
        </w:tc>
        <w:tc>
          <w:tcPr>
            <w:tcW w:w="2223" w:type="pct"/>
            <w:tcMar>
              <w:top w:w="96" w:type="dxa"/>
              <w:left w:w="96" w:type="dxa"/>
              <w:bottom w:w="96" w:type="dxa"/>
              <w:right w:w="96" w:type="dxa"/>
            </w:tcMar>
            <w:vAlign w:val="center"/>
          </w:tcPr>
          <w:p w14:paraId="46A5017A">
            <w:pPr>
              <w:widowControl/>
              <w:jc w:val="left"/>
            </w:pPr>
            <w:r>
              <w:rPr>
                <w:rFonts w:hint="eastAsia" w:ascii="宋体" w:hAnsi="宋体"/>
                <w:kern w:val="0"/>
                <w:sz w:val="24"/>
                <w:szCs w:val="24"/>
              </w:rPr>
              <w:t>导入管线 / 钢结构点云数据，测试软件自动建模、最佳匹配生成模型、照片纹理映射、正射影像生成、三维动画制作功能；针对管道点云，测试自动提取、弯管拟合、管径 / 半径 / 角度计算功能，所有功能运行正常，结果准确；提供功能测试报告或案例证明。</w:t>
            </w:r>
          </w:p>
        </w:tc>
        <w:tc>
          <w:tcPr>
            <w:tcW w:w="638" w:type="pct"/>
            <w:tcMar>
              <w:top w:w="96" w:type="dxa"/>
              <w:left w:w="96" w:type="dxa"/>
              <w:bottom w:w="96" w:type="dxa"/>
              <w:right w:w="96" w:type="dxa"/>
            </w:tcMar>
            <w:vAlign w:val="center"/>
          </w:tcPr>
          <w:p w14:paraId="43367545">
            <w:pPr>
              <w:widowControl/>
              <w:jc w:val="center"/>
            </w:pPr>
            <w:r>
              <w:rPr>
                <w:rFonts w:hint="eastAsia" w:ascii="宋体" w:hAnsi="宋体"/>
                <w:kern w:val="0"/>
                <w:sz w:val="24"/>
                <w:szCs w:val="24"/>
              </w:rPr>
              <w:t>是</w:t>
            </w:r>
          </w:p>
        </w:tc>
      </w:tr>
      <w:tr w14:paraId="4910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27C80F80">
            <w:pPr>
              <w:widowControl/>
              <w:jc w:val="left"/>
            </w:pPr>
            <w:r>
              <w:rPr>
                <w:rFonts w:hint="eastAsia" w:ascii="宋体" w:hAnsi="宋体"/>
                <w:kern w:val="0"/>
                <w:sz w:val="24"/>
                <w:szCs w:val="24"/>
              </w:rPr>
              <w:t>3</w:t>
            </w:r>
          </w:p>
        </w:tc>
        <w:tc>
          <w:tcPr>
            <w:tcW w:w="0" w:type="auto"/>
            <w:tcMar>
              <w:top w:w="96" w:type="dxa"/>
              <w:left w:w="96" w:type="dxa"/>
              <w:bottom w:w="96" w:type="dxa"/>
              <w:right w:w="96" w:type="dxa"/>
            </w:tcMar>
            <w:vAlign w:val="center"/>
          </w:tcPr>
          <w:p w14:paraId="410764A3">
            <w:pPr>
              <w:widowControl/>
              <w:jc w:val="left"/>
            </w:pPr>
            <w:r>
              <w:rPr>
                <w:rFonts w:hint="eastAsia" w:ascii="宋体" w:hAnsi="宋体"/>
                <w:kern w:val="0"/>
                <w:sz w:val="24"/>
                <w:szCs w:val="24"/>
              </w:rPr>
              <w:t>具备点云与主流 BIM 模型类型进行对比检测功能，可直接将建好的模型与点云相结合，检查模型质量，检验施工是否规范</w:t>
            </w:r>
          </w:p>
        </w:tc>
        <w:tc>
          <w:tcPr>
            <w:tcW w:w="2223" w:type="pct"/>
            <w:tcMar>
              <w:top w:w="96" w:type="dxa"/>
              <w:left w:w="96" w:type="dxa"/>
              <w:bottom w:w="96" w:type="dxa"/>
              <w:right w:w="96" w:type="dxa"/>
            </w:tcMar>
            <w:vAlign w:val="center"/>
          </w:tcPr>
          <w:p w14:paraId="53AC9176">
            <w:pPr>
              <w:widowControl/>
              <w:jc w:val="left"/>
            </w:pPr>
            <w:r>
              <w:rPr>
                <w:rFonts w:hint="eastAsia" w:ascii="宋体" w:hAnsi="宋体"/>
                <w:kern w:val="0"/>
                <w:sz w:val="24"/>
                <w:szCs w:val="24"/>
              </w:rPr>
              <w:t>导入点云数据与对应 BIM 模型数据，测试软件对比检测功能，确认可实现模型与点云的叠加、偏差分析，支持模型质量检查、施工合规性检验，结果可输出并查看。</w:t>
            </w:r>
          </w:p>
        </w:tc>
        <w:tc>
          <w:tcPr>
            <w:tcW w:w="638" w:type="pct"/>
            <w:tcMar>
              <w:top w:w="96" w:type="dxa"/>
              <w:left w:w="96" w:type="dxa"/>
              <w:bottom w:w="96" w:type="dxa"/>
              <w:right w:w="96" w:type="dxa"/>
            </w:tcMar>
            <w:vAlign w:val="center"/>
          </w:tcPr>
          <w:p w14:paraId="1E554A50">
            <w:pPr>
              <w:widowControl/>
              <w:jc w:val="center"/>
            </w:pPr>
            <w:r>
              <w:rPr>
                <w:rFonts w:hint="eastAsia" w:ascii="宋体" w:hAnsi="宋体"/>
                <w:kern w:val="0"/>
                <w:sz w:val="24"/>
                <w:szCs w:val="24"/>
              </w:rPr>
              <w:t>否</w:t>
            </w:r>
          </w:p>
        </w:tc>
      </w:tr>
      <w:tr w14:paraId="381BC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201118EC">
            <w:pPr>
              <w:widowControl/>
              <w:jc w:val="left"/>
            </w:pPr>
            <w:r>
              <w:rPr>
                <w:rFonts w:hint="eastAsia" w:ascii="宋体" w:hAnsi="宋体"/>
                <w:kern w:val="0"/>
                <w:sz w:val="24"/>
                <w:szCs w:val="24"/>
              </w:rPr>
              <w:t>4</w:t>
            </w:r>
          </w:p>
        </w:tc>
        <w:tc>
          <w:tcPr>
            <w:tcW w:w="0" w:type="auto"/>
            <w:tcMar>
              <w:top w:w="96" w:type="dxa"/>
              <w:left w:w="96" w:type="dxa"/>
              <w:bottom w:w="96" w:type="dxa"/>
              <w:right w:w="96" w:type="dxa"/>
            </w:tcMar>
            <w:vAlign w:val="center"/>
          </w:tcPr>
          <w:p w14:paraId="4AF5D7E5">
            <w:pPr>
              <w:widowControl/>
              <w:jc w:val="left"/>
            </w:pPr>
            <w:r>
              <w:rPr>
                <w:rFonts w:hint="eastAsia" w:ascii="宋体" w:hAnsi="宋体"/>
                <w:kern w:val="0"/>
                <w:sz w:val="24"/>
                <w:szCs w:val="24"/>
              </w:rPr>
              <w:t>具备点云或网格的表面分析、体积测量、圆度和椭圆度计算等专业检测、三维色谱对比分析等专业工具；可获取体积、面积、长度等各种扫描对象的几何信息；具备从点云或模型中提取特征线、自定义角度的截面等功能；具备几何特征创建（最佳拟合、区域增长等）</w:t>
            </w:r>
          </w:p>
        </w:tc>
        <w:tc>
          <w:tcPr>
            <w:tcW w:w="2223" w:type="pct"/>
            <w:tcMar>
              <w:top w:w="96" w:type="dxa"/>
              <w:left w:w="96" w:type="dxa"/>
              <w:bottom w:w="96" w:type="dxa"/>
              <w:right w:w="96" w:type="dxa"/>
            </w:tcMar>
            <w:vAlign w:val="center"/>
          </w:tcPr>
          <w:p w14:paraId="546854F1">
            <w:pPr>
              <w:widowControl/>
              <w:jc w:val="left"/>
            </w:pPr>
            <w:r>
              <w:rPr>
                <w:rFonts w:hint="eastAsia" w:ascii="宋体" w:hAnsi="宋体"/>
                <w:kern w:val="0"/>
                <w:sz w:val="24"/>
                <w:szCs w:val="24"/>
              </w:rPr>
              <w:t>导入测试点云 / 网格数据，逐一测试表面分析、体积 / 面积 / 长度测量、圆度 / 椭圆度计算、三维色谱对比分析功能；测试特征线提取、自定义截面生成、几何特征创建（最佳拟合、区域增长）功能，所有工具运行正常，测量结果准确。</w:t>
            </w:r>
          </w:p>
        </w:tc>
        <w:tc>
          <w:tcPr>
            <w:tcW w:w="638" w:type="pct"/>
            <w:tcMar>
              <w:top w:w="96" w:type="dxa"/>
              <w:left w:w="96" w:type="dxa"/>
              <w:bottom w:w="96" w:type="dxa"/>
              <w:right w:w="96" w:type="dxa"/>
            </w:tcMar>
            <w:vAlign w:val="center"/>
          </w:tcPr>
          <w:p w14:paraId="418F78D8">
            <w:pPr>
              <w:widowControl/>
              <w:jc w:val="center"/>
            </w:pPr>
            <w:r>
              <w:rPr>
                <w:rFonts w:hint="eastAsia" w:ascii="宋体" w:hAnsi="宋体"/>
                <w:kern w:val="0"/>
                <w:sz w:val="24"/>
                <w:szCs w:val="24"/>
              </w:rPr>
              <w:t>否</w:t>
            </w:r>
          </w:p>
        </w:tc>
      </w:tr>
      <w:tr w14:paraId="1949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1BD7321C">
            <w:pPr>
              <w:widowControl/>
              <w:jc w:val="left"/>
            </w:pPr>
            <w:r>
              <w:rPr>
                <w:rFonts w:hint="eastAsia" w:ascii="宋体" w:hAnsi="宋体"/>
                <w:kern w:val="0"/>
                <w:sz w:val="24"/>
                <w:szCs w:val="24"/>
              </w:rPr>
              <w:t>5</w:t>
            </w:r>
          </w:p>
        </w:tc>
        <w:tc>
          <w:tcPr>
            <w:tcW w:w="0" w:type="auto"/>
            <w:tcMar>
              <w:top w:w="96" w:type="dxa"/>
              <w:left w:w="96" w:type="dxa"/>
              <w:bottom w:w="96" w:type="dxa"/>
              <w:right w:w="96" w:type="dxa"/>
            </w:tcMar>
            <w:vAlign w:val="center"/>
          </w:tcPr>
          <w:p w14:paraId="29AA1DA9">
            <w:pPr>
              <w:widowControl/>
              <w:jc w:val="left"/>
            </w:pPr>
            <w:r>
              <w:rPr>
                <w:rFonts w:hint="eastAsia" w:ascii="宋体" w:hAnsi="宋体"/>
                <w:kern w:val="0"/>
                <w:sz w:val="24"/>
                <w:szCs w:val="24"/>
              </w:rPr>
              <w:t>具备支持 AutoCAD、Revit、Bentley、Navisworks 等第三方软件的接口插件，可在上述软件直接调用原始点云数据数据库进行处理、加工、呈现，支持三维坐标的实时传输进行绘图、3D 建模，并可通过图像进行 3D 绘图与建模</w:t>
            </w:r>
          </w:p>
        </w:tc>
        <w:tc>
          <w:tcPr>
            <w:tcW w:w="2223" w:type="pct"/>
            <w:tcMar>
              <w:top w:w="96" w:type="dxa"/>
              <w:left w:w="96" w:type="dxa"/>
              <w:bottom w:w="96" w:type="dxa"/>
              <w:right w:w="96" w:type="dxa"/>
            </w:tcMar>
            <w:vAlign w:val="center"/>
          </w:tcPr>
          <w:p w14:paraId="7E40ACCA">
            <w:pPr>
              <w:widowControl/>
              <w:jc w:val="left"/>
            </w:pPr>
            <w:r>
              <w:rPr>
                <w:rFonts w:hint="eastAsia" w:ascii="宋体" w:hAnsi="宋体"/>
                <w:kern w:val="0"/>
                <w:sz w:val="24"/>
                <w:szCs w:val="24"/>
              </w:rPr>
              <w:t>安装并测试软件与 AutoCAD、Revit、Bentley、Navisworks 的接口插件，确认可在上述第三方软件中直接调用点云数据库，实现点云处理、三维坐标传输、绘图、3D 建模功能；提供接口插件功能说明与兼容性证明文件。</w:t>
            </w:r>
          </w:p>
        </w:tc>
        <w:tc>
          <w:tcPr>
            <w:tcW w:w="638" w:type="pct"/>
            <w:tcMar>
              <w:top w:w="96" w:type="dxa"/>
              <w:left w:w="96" w:type="dxa"/>
              <w:bottom w:w="96" w:type="dxa"/>
              <w:right w:w="96" w:type="dxa"/>
            </w:tcMar>
            <w:vAlign w:val="center"/>
          </w:tcPr>
          <w:p w14:paraId="1231BDC4">
            <w:pPr>
              <w:widowControl/>
              <w:jc w:val="center"/>
            </w:pPr>
            <w:r>
              <w:rPr>
                <w:rFonts w:hint="eastAsia" w:ascii="宋体" w:hAnsi="宋体"/>
                <w:kern w:val="0"/>
                <w:sz w:val="24"/>
                <w:szCs w:val="24"/>
              </w:rPr>
              <w:t>是</w:t>
            </w:r>
          </w:p>
        </w:tc>
      </w:tr>
      <w:tr w14:paraId="75C4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3FB43139">
            <w:pPr>
              <w:widowControl/>
              <w:jc w:val="left"/>
            </w:pPr>
            <w:r>
              <w:rPr>
                <w:rFonts w:hint="eastAsia" w:ascii="宋体" w:hAnsi="宋体"/>
                <w:kern w:val="0"/>
                <w:sz w:val="24"/>
                <w:szCs w:val="24"/>
              </w:rPr>
              <w:t>6</w:t>
            </w:r>
          </w:p>
        </w:tc>
        <w:tc>
          <w:tcPr>
            <w:tcW w:w="0" w:type="auto"/>
            <w:tcMar>
              <w:top w:w="96" w:type="dxa"/>
              <w:left w:w="96" w:type="dxa"/>
              <w:bottom w:w="96" w:type="dxa"/>
              <w:right w:w="96" w:type="dxa"/>
            </w:tcMar>
            <w:vAlign w:val="center"/>
          </w:tcPr>
          <w:p w14:paraId="7ED1392F">
            <w:pPr>
              <w:widowControl/>
              <w:jc w:val="left"/>
            </w:pPr>
            <w:r>
              <w:rPr>
                <w:rFonts w:hint="eastAsia" w:ascii="宋体" w:hAnsi="宋体"/>
                <w:kern w:val="0"/>
                <w:sz w:val="24"/>
                <w:szCs w:val="24"/>
              </w:rPr>
              <w:t>具备自动点云分类功能；具备点云智能过滤和点云去噪功能，可实现移动对象检测，针对地面点、墙壁和地板的智能过滤功能，简化复杂的点云去噪和分割功能；提供基于机器学习的点云分类功能，支持最少 100 个类别的点云分类项，包括植被、道路、铁路、桥梁等</w:t>
            </w:r>
          </w:p>
        </w:tc>
        <w:tc>
          <w:tcPr>
            <w:tcW w:w="2223" w:type="pct"/>
            <w:tcMar>
              <w:top w:w="96" w:type="dxa"/>
              <w:left w:w="96" w:type="dxa"/>
              <w:bottom w:w="96" w:type="dxa"/>
              <w:right w:w="96" w:type="dxa"/>
            </w:tcMar>
            <w:vAlign w:val="center"/>
          </w:tcPr>
          <w:p w14:paraId="3B8BCC57">
            <w:pPr>
              <w:widowControl/>
              <w:jc w:val="left"/>
            </w:pPr>
            <w:r>
              <w:rPr>
                <w:rFonts w:hint="eastAsia" w:ascii="宋体" w:hAnsi="宋体"/>
                <w:kern w:val="0"/>
                <w:sz w:val="24"/>
                <w:szCs w:val="24"/>
              </w:rPr>
              <w:t>导入含噪声、多类别的点云数据，测试自动点云分类、智能过滤、去噪、移动对象检测功能，确认可实现地面 / 墙壁 / 地板点云智能过滤；核查软件点云分类类别清单，确认支持不少于 100 个分类项，包含植被、道路、铁路、桥梁等；提供功能测试报告或机器学习分类能力证明。</w:t>
            </w:r>
          </w:p>
        </w:tc>
        <w:tc>
          <w:tcPr>
            <w:tcW w:w="638" w:type="pct"/>
            <w:tcMar>
              <w:top w:w="96" w:type="dxa"/>
              <w:left w:w="96" w:type="dxa"/>
              <w:bottom w:w="96" w:type="dxa"/>
              <w:right w:w="96" w:type="dxa"/>
            </w:tcMar>
            <w:vAlign w:val="center"/>
          </w:tcPr>
          <w:p w14:paraId="7D2B00A4">
            <w:pPr>
              <w:widowControl/>
              <w:jc w:val="center"/>
            </w:pPr>
            <w:r>
              <w:rPr>
                <w:rFonts w:hint="eastAsia" w:ascii="宋体" w:hAnsi="宋体"/>
                <w:kern w:val="0"/>
                <w:sz w:val="24"/>
                <w:szCs w:val="24"/>
              </w:rPr>
              <w:t>是</w:t>
            </w:r>
          </w:p>
        </w:tc>
      </w:tr>
      <w:tr w14:paraId="24AC5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0FA2E5C9">
            <w:pPr>
              <w:widowControl/>
              <w:jc w:val="left"/>
            </w:pPr>
            <w:r>
              <w:rPr>
                <w:rFonts w:hint="eastAsia" w:ascii="宋体" w:hAnsi="宋体"/>
                <w:kern w:val="0"/>
                <w:sz w:val="24"/>
                <w:szCs w:val="24"/>
              </w:rPr>
              <w:t>7</w:t>
            </w:r>
          </w:p>
        </w:tc>
        <w:tc>
          <w:tcPr>
            <w:tcW w:w="0" w:type="auto"/>
            <w:tcMar>
              <w:top w:w="96" w:type="dxa"/>
              <w:left w:w="96" w:type="dxa"/>
              <w:bottom w:w="96" w:type="dxa"/>
              <w:right w:w="96" w:type="dxa"/>
            </w:tcMar>
            <w:vAlign w:val="center"/>
          </w:tcPr>
          <w:p w14:paraId="77560BE2">
            <w:pPr>
              <w:widowControl/>
              <w:jc w:val="left"/>
            </w:pPr>
            <w:r>
              <w:rPr>
                <w:rFonts w:hint="eastAsia" w:ascii="宋体" w:hAnsi="宋体"/>
                <w:kern w:val="0"/>
                <w:sz w:val="24"/>
                <w:szCs w:val="24"/>
              </w:rPr>
              <w:t>具备纹理映射功能，可实现图像到三维网格的纹理贴图</w:t>
            </w:r>
          </w:p>
        </w:tc>
        <w:tc>
          <w:tcPr>
            <w:tcW w:w="2223" w:type="pct"/>
            <w:tcMar>
              <w:top w:w="96" w:type="dxa"/>
              <w:left w:w="96" w:type="dxa"/>
              <w:bottom w:w="96" w:type="dxa"/>
              <w:right w:w="96" w:type="dxa"/>
            </w:tcMar>
            <w:vAlign w:val="center"/>
          </w:tcPr>
          <w:p w14:paraId="3B12E253">
            <w:pPr>
              <w:widowControl/>
              <w:jc w:val="left"/>
            </w:pPr>
            <w:r>
              <w:rPr>
                <w:rFonts w:hint="eastAsia" w:ascii="宋体" w:hAnsi="宋体"/>
                <w:kern w:val="0"/>
                <w:sz w:val="24"/>
                <w:szCs w:val="24"/>
              </w:rPr>
              <w:t>导入点云数据与对应图像数据，测试软件纹理映射功能，确认可将图像数据映射到三维网格模型上，生成带纹理的三维模型，效果清晰、映射准确。</w:t>
            </w:r>
          </w:p>
        </w:tc>
        <w:tc>
          <w:tcPr>
            <w:tcW w:w="638" w:type="pct"/>
            <w:tcMar>
              <w:top w:w="96" w:type="dxa"/>
              <w:left w:w="96" w:type="dxa"/>
              <w:bottom w:w="96" w:type="dxa"/>
              <w:right w:w="96" w:type="dxa"/>
            </w:tcMar>
            <w:vAlign w:val="center"/>
          </w:tcPr>
          <w:p w14:paraId="5E81627E">
            <w:pPr>
              <w:widowControl/>
              <w:jc w:val="center"/>
            </w:pPr>
            <w:r>
              <w:rPr>
                <w:rFonts w:hint="eastAsia" w:ascii="宋体" w:hAnsi="宋体"/>
                <w:kern w:val="0"/>
                <w:sz w:val="24"/>
                <w:szCs w:val="24"/>
              </w:rPr>
              <w:t>否</w:t>
            </w:r>
          </w:p>
        </w:tc>
      </w:tr>
      <w:tr w14:paraId="487DA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03404F7F">
            <w:pPr>
              <w:widowControl/>
              <w:jc w:val="left"/>
            </w:pPr>
            <w:r>
              <w:rPr>
                <w:rFonts w:hint="eastAsia" w:ascii="宋体" w:hAnsi="宋体"/>
                <w:kern w:val="0"/>
                <w:sz w:val="24"/>
                <w:szCs w:val="24"/>
              </w:rPr>
              <w:t>8</w:t>
            </w:r>
          </w:p>
        </w:tc>
        <w:tc>
          <w:tcPr>
            <w:tcW w:w="0" w:type="auto"/>
            <w:tcMar>
              <w:top w:w="96" w:type="dxa"/>
              <w:left w:w="96" w:type="dxa"/>
              <w:bottom w:w="96" w:type="dxa"/>
              <w:right w:w="96" w:type="dxa"/>
            </w:tcMar>
            <w:vAlign w:val="center"/>
          </w:tcPr>
          <w:p w14:paraId="55365B81">
            <w:pPr>
              <w:widowControl/>
              <w:jc w:val="left"/>
            </w:pPr>
            <w:r>
              <w:rPr>
                <w:rFonts w:hint="eastAsia" w:ascii="宋体" w:hAnsi="宋体"/>
                <w:kern w:val="0"/>
                <w:sz w:val="24"/>
                <w:szCs w:val="24"/>
              </w:rPr>
              <w:t>可满足对 10 亿级点云管理的需求，支持至少 10 个数据组，软件处理流畅；提供至少 2 个数据库共享接口</w:t>
            </w:r>
          </w:p>
        </w:tc>
        <w:tc>
          <w:tcPr>
            <w:tcW w:w="2223" w:type="pct"/>
            <w:tcMar>
              <w:top w:w="96" w:type="dxa"/>
              <w:left w:w="96" w:type="dxa"/>
              <w:bottom w:w="96" w:type="dxa"/>
              <w:right w:w="96" w:type="dxa"/>
            </w:tcMar>
            <w:vAlign w:val="center"/>
          </w:tcPr>
          <w:p w14:paraId="21614FB1">
            <w:pPr>
              <w:widowControl/>
              <w:jc w:val="left"/>
            </w:pPr>
            <w:r>
              <w:rPr>
                <w:rFonts w:hint="eastAsia" w:ascii="宋体" w:hAnsi="宋体"/>
                <w:kern w:val="0"/>
                <w:sz w:val="24"/>
                <w:szCs w:val="24"/>
              </w:rPr>
              <w:t>导入 10 亿级点云数据，创建不少于 10 个数据组，测试软件运行流畅性，无卡顿、崩溃现象；核查软件数据库配置，确认提供不少于 2 个数据库共享接口；提供大数据处理能力测试报告。</w:t>
            </w:r>
          </w:p>
        </w:tc>
        <w:tc>
          <w:tcPr>
            <w:tcW w:w="638" w:type="pct"/>
            <w:tcMar>
              <w:top w:w="96" w:type="dxa"/>
              <w:left w:w="96" w:type="dxa"/>
              <w:bottom w:w="96" w:type="dxa"/>
              <w:right w:w="96" w:type="dxa"/>
            </w:tcMar>
            <w:vAlign w:val="center"/>
          </w:tcPr>
          <w:p w14:paraId="2D3AEC07">
            <w:pPr>
              <w:widowControl/>
              <w:jc w:val="center"/>
            </w:pPr>
            <w:r>
              <w:rPr>
                <w:rFonts w:hint="eastAsia" w:ascii="宋体" w:hAnsi="宋体"/>
                <w:kern w:val="0"/>
                <w:sz w:val="24"/>
                <w:szCs w:val="24"/>
              </w:rPr>
              <w:t>是</w:t>
            </w:r>
          </w:p>
        </w:tc>
      </w:tr>
      <w:tr w14:paraId="3F895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16A03D37">
            <w:pPr>
              <w:widowControl/>
              <w:jc w:val="left"/>
            </w:pPr>
            <w:r>
              <w:rPr>
                <w:rFonts w:hint="eastAsia" w:ascii="宋体" w:hAnsi="宋体"/>
                <w:kern w:val="0"/>
                <w:sz w:val="24"/>
                <w:szCs w:val="24"/>
              </w:rPr>
              <w:t>9</w:t>
            </w:r>
          </w:p>
        </w:tc>
        <w:tc>
          <w:tcPr>
            <w:tcW w:w="0" w:type="auto"/>
            <w:tcMar>
              <w:top w:w="96" w:type="dxa"/>
              <w:left w:w="96" w:type="dxa"/>
              <w:bottom w:w="96" w:type="dxa"/>
              <w:right w:w="96" w:type="dxa"/>
            </w:tcMar>
            <w:vAlign w:val="center"/>
          </w:tcPr>
          <w:p w14:paraId="1C593176">
            <w:pPr>
              <w:widowControl/>
              <w:jc w:val="left"/>
            </w:pPr>
            <w:r>
              <w:rPr>
                <w:rFonts w:hint="eastAsia" w:ascii="宋体" w:hAnsi="宋体"/>
                <w:kern w:val="0"/>
                <w:sz w:val="24"/>
                <w:szCs w:val="24"/>
              </w:rPr>
              <w:t>点云数据可发布为网页，支持数据加密访问、共享，用户无需安装任何软件，通过任意一台手机、平板、电脑，用网页浏览器即可实现在线数据查看及编辑，可通过管理员进行用户和访问门户管理、权限设置，具备数据批量上传和断点续传功能，并且支持多人同时访问</w:t>
            </w:r>
          </w:p>
        </w:tc>
        <w:tc>
          <w:tcPr>
            <w:tcW w:w="2223" w:type="pct"/>
            <w:tcMar>
              <w:top w:w="96" w:type="dxa"/>
              <w:left w:w="96" w:type="dxa"/>
              <w:bottom w:w="96" w:type="dxa"/>
              <w:right w:w="96" w:type="dxa"/>
            </w:tcMar>
            <w:vAlign w:val="center"/>
          </w:tcPr>
          <w:p w14:paraId="24CB447A">
            <w:pPr>
              <w:widowControl/>
              <w:jc w:val="left"/>
            </w:pPr>
            <w:r>
              <w:rPr>
                <w:rFonts w:hint="eastAsia" w:ascii="宋体" w:hAnsi="宋体"/>
                <w:kern w:val="0"/>
                <w:sz w:val="24"/>
                <w:szCs w:val="24"/>
              </w:rPr>
              <w:t>现场将点云数据发布为网页形式，测试加密访问、用户权限管理、批量上传、断点续传功能；使用手机、平板、电脑等不同终端，通过浏览器访问发布的点云数据，测试在线查看、编辑功能，确认多人同时访问时系统运行正常，无异常。</w:t>
            </w:r>
          </w:p>
        </w:tc>
        <w:tc>
          <w:tcPr>
            <w:tcW w:w="638" w:type="pct"/>
            <w:tcMar>
              <w:top w:w="96" w:type="dxa"/>
              <w:left w:w="96" w:type="dxa"/>
              <w:bottom w:w="96" w:type="dxa"/>
              <w:right w:w="96" w:type="dxa"/>
            </w:tcMar>
            <w:vAlign w:val="center"/>
          </w:tcPr>
          <w:p w14:paraId="250EB02C">
            <w:pPr>
              <w:widowControl/>
              <w:jc w:val="center"/>
            </w:pPr>
            <w:r>
              <w:rPr>
                <w:rFonts w:hint="eastAsia" w:ascii="宋体" w:hAnsi="宋体"/>
                <w:kern w:val="0"/>
                <w:sz w:val="24"/>
                <w:szCs w:val="24"/>
              </w:rPr>
              <w:t>否</w:t>
            </w:r>
          </w:p>
        </w:tc>
      </w:tr>
      <w:tr w14:paraId="057BB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12BA4181">
            <w:pPr>
              <w:widowControl/>
              <w:jc w:val="left"/>
            </w:pPr>
            <w:r>
              <w:rPr>
                <w:rFonts w:hint="eastAsia" w:ascii="宋体" w:hAnsi="宋体"/>
                <w:kern w:val="0"/>
                <w:sz w:val="24"/>
                <w:szCs w:val="24"/>
              </w:rPr>
              <w:t>10</w:t>
            </w:r>
          </w:p>
        </w:tc>
        <w:tc>
          <w:tcPr>
            <w:tcW w:w="0" w:type="auto"/>
            <w:tcMar>
              <w:top w:w="96" w:type="dxa"/>
              <w:left w:w="96" w:type="dxa"/>
              <w:bottom w:w="96" w:type="dxa"/>
              <w:right w:w="96" w:type="dxa"/>
            </w:tcMar>
            <w:vAlign w:val="center"/>
          </w:tcPr>
          <w:p w14:paraId="0E6F9B9A">
            <w:pPr>
              <w:widowControl/>
              <w:jc w:val="left"/>
            </w:pPr>
            <w:r>
              <w:rPr>
                <w:rFonts w:hint="eastAsia" w:ascii="宋体" w:hAnsi="宋体"/>
                <w:kern w:val="0"/>
                <w:sz w:val="24"/>
                <w:szCs w:val="24"/>
              </w:rPr>
              <w:t>具备逆向工程工作流（网格到 CAD）和导出到 IGES/STEP，具备 AEC（建筑和隧道）CAD 格式导入（DWG/IFC 和 Revit）和 AEC（建筑和隧道）专用清洁工具</w:t>
            </w:r>
          </w:p>
        </w:tc>
        <w:tc>
          <w:tcPr>
            <w:tcW w:w="2223" w:type="pct"/>
            <w:tcMar>
              <w:top w:w="96" w:type="dxa"/>
              <w:left w:w="96" w:type="dxa"/>
              <w:bottom w:w="96" w:type="dxa"/>
              <w:right w:w="96" w:type="dxa"/>
            </w:tcMar>
            <w:vAlign w:val="center"/>
          </w:tcPr>
          <w:p w14:paraId="6AB11D16">
            <w:pPr>
              <w:widowControl/>
              <w:jc w:val="left"/>
            </w:pPr>
            <w:r>
              <w:rPr>
                <w:rFonts w:hint="eastAsia" w:ascii="宋体" w:hAnsi="宋体"/>
                <w:kern w:val="0"/>
                <w:sz w:val="24"/>
                <w:szCs w:val="24"/>
              </w:rPr>
              <w:t>测试软件逆向工程工作流，确认可实现点云网格到 CAD 格式的转换，支持导出为 IGES/STEP 格式；导入 DWG/IFC/Revit 格式的建筑、隧道 CAD 数据，测试专用清洁工具功能，运行正常，数据处理结果准确。</w:t>
            </w:r>
          </w:p>
        </w:tc>
        <w:tc>
          <w:tcPr>
            <w:tcW w:w="638" w:type="pct"/>
            <w:tcMar>
              <w:top w:w="96" w:type="dxa"/>
              <w:left w:w="96" w:type="dxa"/>
              <w:bottom w:w="96" w:type="dxa"/>
              <w:right w:w="96" w:type="dxa"/>
            </w:tcMar>
            <w:vAlign w:val="center"/>
          </w:tcPr>
          <w:p w14:paraId="27B5D366">
            <w:pPr>
              <w:widowControl/>
              <w:jc w:val="center"/>
            </w:pPr>
            <w:r>
              <w:rPr>
                <w:rFonts w:hint="eastAsia" w:ascii="宋体" w:hAnsi="宋体"/>
                <w:kern w:val="0"/>
                <w:sz w:val="24"/>
                <w:szCs w:val="24"/>
              </w:rPr>
              <w:t>否</w:t>
            </w:r>
          </w:p>
        </w:tc>
      </w:tr>
      <w:tr w14:paraId="5AD85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0" w:type="auto"/>
            <w:tcMar>
              <w:top w:w="96" w:type="dxa"/>
              <w:left w:w="96" w:type="dxa"/>
              <w:bottom w:w="96" w:type="dxa"/>
              <w:right w:w="96" w:type="dxa"/>
            </w:tcMar>
            <w:vAlign w:val="center"/>
          </w:tcPr>
          <w:p w14:paraId="75B2EDC1">
            <w:pPr>
              <w:widowControl/>
              <w:jc w:val="left"/>
            </w:pPr>
            <w:r>
              <w:rPr>
                <w:rFonts w:hint="eastAsia" w:ascii="宋体" w:hAnsi="宋体"/>
                <w:kern w:val="0"/>
                <w:sz w:val="24"/>
                <w:szCs w:val="24"/>
              </w:rPr>
              <w:t>11</w:t>
            </w:r>
          </w:p>
        </w:tc>
        <w:tc>
          <w:tcPr>
            <w:tcW w:w="0" w:type="auto"/>
            <w:tcMar>
              <w:top w:w="96" w:type="dxa"/>
              <w:left w:w="96" w:type="dxa"/>
              <w:bottom w:w="96" w:type="dxa"/>
              <w:right w:w="96" w:type="dxa"/>
            </w:tcMar>
            <w:vAlign w:val="center"/>
          </w:tcPr>
          <w:p w14:paraId="6C57F0B5">
            <w:pPr>
              <w:widowControl/>
              <w:jc w:val="left"/>
            </w:pPr>
            <w:r>
              <w:rPr>
                <w:rFonts w:hint="eastAsia" w:ascii="宋体" w:hAnsi="宋体"/>
                <w:kern w:val="0"/>
                <w:sz w:val="24"/>
                <w:szCs w:val="24"/>
              </w:rPr>
              <w:t>点云后处理软件同数据采集设备为同一厂商，不需要借助其他第三方软件，就能完成三维数据提取、处理、加工、呈现</w:t>
            </w:r>
          </w:p>
        </w:tc>
        <w:tc>
          <w:tcPr>
            <w:tcW w:w="2223" w:type="pct"/>
            <w:tcMar>
              <w:top w:w="96" w:type="dxa"/>
              <w:left w:w="96" w:type="dxa"/>
              <w:bottom w:w="96" w:type="dxa"/>
              <w:right w:w="96" w:type="dxa"/>
            </w:tcMar>
            <w:vAlign w:val="center"/>
          </w:tcPr>
          <w:p w14:paraId="04BA49AB">
            <w:pPr>
              <w:widowControl/>
              <w:jc w:val="left"/>
            </w:pPr>
            <w:r>
              <w:rPr>
                <w:rFonts w:hint="eastAsia" w:ascii="宋体" w:hAnsi="宋体"/>
                <w:kern w:val="0"/>
                <w:sz w:val="24"/>
                <w:szCs w:val="24"/>
              </w:rPr>
              <w:t>核查软件与设备的厂商信息，确认为同一品牌 / 同一厂商产品；测试从点云采集、数据导入到处理、建模、成果输出的全流程，确认无需依赖第三方软件即可完成完整的三维数据提取、处理、加工、呈现工作。</w:t>
            </w:r>
          </w:p>
        </w:tc>
        <w:tc>
          <w:tcPr>
            <w:tcW w:w="638" w:type="pct"/>
            <w:tcMar>
              <w:top w:w="96" w:type="dxa"/>
              <w:left w:w="96" w:type="dxa"/>
              <w:bottom w:w="96" w:type="dxa"/>
              <w:right w:w="96" w:type="dxa"/>
            </w:tcMar>
            <w:vAlign w:val="center"/>
          </w:tcPr>
          <w:p w14:paraId="79A8C69C">
            <w:pPr>
              <w:widowControl/>
              <w:jc w:val="center"/>
            </w:pPr>
            <w:r>
              <w:rPr>
                <w:rFonts w:hint="eastAsia" w:ascii="宋体" w:hAnsi="宋体"/>
                <w:kern w:val="0"/>
                <w:sz w:val="24"/>
                <w:szCs w:val="24"/>
              </w:rPr>
              <w:t>否</w:t>
            </w:r>
          </w:p>
        </w:tc>
      </w:tr>
    </w:tbl>
    <w:p w14:paraId="2591CDB3">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25261B"/>
    <w:rsid w:val="03A02E2C"/>
    <w:rsid w:val="06360D73"/>
    <w:rsid w:val="12775C33"/>
    <w:rsid w:val="194702D9"/>
    <w:rsid w:val="19AF5431"/>
    <w:rsid w:val="1FF817D7"/>
    <w:rsid w:val="20353FDE"/>
    <w:rsid w:val="26093577"/>
    <w:rsid w:val="280E316D"/>
    <w:rsid w:val="34D039B6"/>
    <w:rsid w:val="372F00FC"/>
    <w:rsid w:val="37AD46D3"/>
    <w:rsid w:val="4B010D46"/>
    <w:rsid w:val="56116B96"/>
    <w:rsid w:val="6E7625FD"/>
    <w:rsid w:val="70BF608B"/>
    <w:rsid w:val="71DD525F"/>
    <w:rsid w:val="7325261B"/>
    <w:rsid w:val="738D3920"/>
    <w:rsid w:val="74463F93"/>
    <w:rsid w:val="7F1E0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宋体" w:cs="Arial"/>
      <w:snapToGrid w:val="0"/>
      <w:color w:val="000000"/>
      <w:kern w:val="0"/>
      <w:sz w:val="24"/>
      <w:szCs w:val="21"/>
      <w:lang w:val="en-US" w:eastAsia="en-US" w:bidi="ar-SA"/>
    </w:rPr>
  </w:style>
  <w:style w:type="paragraph" w:styleId="2">
    <w:name w:val="heading 1"/>
    <w:basedOn w:val="1"/>
    <w:next w:val="1"/>
    <w:link w:val="7"/>
    <w:qFormat/>
    <w:uiPriority w:val="0"/>
    <w:pPr>
      <w:keepNext/>
      <w:keepLines/>
      <w:spacing w:before="156" w:beforeLines="0" w:after="156" w:afterLines="0" w:line="360" w:lineRule="auto"/>
      <w:jc w:val="center"/>
      <w:outlineLvl w:val="0"/>
    </w:pPr>
    <w:rPr>
      <w:rFonts w:ascii="Times New Roman" w:hAnsi="Times New Roman" w:eastAsia="宋体" w:cs="Times New Roman"/>
      <w:b/>
      <w:bCs/>
      <w:kern w:val="44"/>
      <w:sz w:val="32"/>
      <w:szCs w:val="44"/>
      <w:lang w:eastAsia="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eastAsia="宋体" w:cs="Times New Roman"/>
      <w:sz w:val="32"/>
    </w:rPr>
  </w:style>
  <w:style w:type="paragraph" w:styleId="4">
    <w:name w:val="footer"/>
    <w:basedOn w:val="1"/>
    <w:qFormat/>
    <w:uiPriority w:val="0"/>
    <w:pPr>
      <w:tabs>
        <w:tab w:val="center" w:pos="4153"/>
        <w:tab w:val="right" w:pos="8306"/>
      </w:tabs>
      <w:snapToGrid w:val="0"/>
      <w:jc w:val="left"/>
    </w:pPr>
    <w:rPr>
      <w:rFonts w:ascii="宋体" w:hAnsi="宋体" w:eastAsia="宋体" w:cs="宋体"/>
      <w:kern w:val="2"/>
      <w:sz w:val="21"/>
      <w:lang w:eastAsia="zh-CN"/>
    </w:rPr>
  </w:style>
  <w:style w:type="character" w:customStyle="1" w:styleId="7">
    <w:name w:val="标题 1 字符"/>
    <w:link w:val="2"/>
    <w:qFormat/>
    <w:uiPriority w:val="99"/>
    <w:rPr>
      <w:rFonts w:ascii="Times New Roman" w:hAnsi="Times New Roman" w:eastAsia="宋体" w:cs="Times New Roman"/>
      <w:b/>
      <w:bCs/>
      <w:kern w:val="44"/>
      <w:sz w:val="32"/>
      <w:szCs w:val="4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2026-05-21T03:39:00Z</dcterms:created>
  <dc:creator>H</dc:creator>
  <cp:lastModifiedBy>H</cp:lastModifiedBy>
  <dcterms:modified xsi:type="dcterms:W3CDTF">2026-05-21T03:49:52Z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1BD137C8550F47F28151ED8029643D70_11</vt:lpwstr>
  </property>
  <property fmtid="{D5CDD505-2E9C-101B-9397-08002B2CF9AE}" pid="4" name="KSOTemplateDocerSaveRecord">
    <vt:lpwstr>eyJoZGlkIjoiNWVlZWQ2MGQxNmE1ODQyMmRiYjA3Yzk4MTMyMWVjOGQiLCJ1c2VySWQiOiI1MjUwOTc0MjQifQ==</vt:lpwstr>
  </property>
</Properties>
</file>