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版本号：YC2026-00420260702002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淳化县商业航天发动机总装测试工厂考古发掘项目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YC2026-004</w:t>
      </w:r>
      <w:r>
        <w:br/>
      </w:r>
      <w:r>
        <w:br/>
      </w:r>
      <w:r>
        <w:br/>
      </w:r>
    </w:p>
    <w:p>
      <w:pPr>
        <w:pStyle w:val="null3"/>
        <w:jc w:val="center"/>
        <w:outlineLvl w:val="2"/>
      </w:pPr>
      <w:r>
        <w:rPr>
          <w:rFonts w:ascii="仿宋_GB2312" w:hAnsi="仿宋_GB2312" w:cs="仿宋_GB2312" w:eastAsia="仿宋_GB2312"/>
          <w:sz w:val="28"/>
          <w:b/>
        </w:rPr>
        <w:t>淳化县方里镇人民政府</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淳化县方里镇人民政府</w:t>
      </w:r>
      <w:r>
        <w:rPr>
          <w:rFonts w:ascii="仿宋_GB2312" w:hAnsi="仿宋_GB2312" w:cs="仿宋_GB2312" w:eastAsia="仿宋_GB2312"/>
        </w:rPr>
        <w:t>委托，拟对</w:t>
      </w:r>
      <w:r>
        <w:rPr>
          <w:rFonts w:ascii="仿宋_GB2312" w:hAnsi="仿宋_GB2312" w:cs="仿宋_GB2312" w:eastAsia="仿宋_GB2312"/>
        </w:rPr>
        <w:t>淳化县商业航天发动机总装测试工厂考古发掘项目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淳化县商业航天发动机总装测试工厂考古发掘项目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本次文物发掘范围、工作流程均符合规范标准，完成该项目用地范围内文物发掘劳务工作，为确保文物发掘工作按期完成，确保项目顺利推进。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采购包1（淳化县商业航天发动机总装测试工厂考古发掘项目）：属于专门面向中小企业采购。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 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证明文件：法定代表人直接参加投标的，须出具法定代表人身份证明书（含法人身份证复印件）；法定代表人授权代表参加投标的，须出具法定代表人授权书（附法定代表人身份证复印件及被授权人身份证复印件）；</w:t>
      </w:r>
    </w:p>
    <w:p>
      <w:pPr>
        <w:pStyle w:val="null3"/>
      </w:pPr>
      <w:r>
        <w:rPr>
          <w:rFonts w:ascii="仿宋_GB2312" w:hAnsi="仿宋_GB2312" w:cs="仿宋_GB2312" w:eastAsia="仿宋_GB2312"/>
        </w:rPr>
        <w:t>3、书面声明：出具参加本次采购活动前三年内在经营活动中没有重大违法记录的书面声明；</w:t>
      </w:r>
    </w:p>
    <w:p>
      <w:pPr>
        <w:pStyle w:val="null3"/>
      </w:pPr>
      <w:r>
        <w:rPr>
          <w:rFonts w:ascii="仿宋_GB2312" w:hAnsi="仿宋_GB2312" w:cs="仿宋_GB2312" w:eastAsia="仿宋_GB2312"/>
        </w:rPr>
        <w:t>4、设备和专业技术能力的承诺：供应商须提供具有履行合同所必需的设备和专业技术能力的承诺；</w:t>
      </w:r>
    </w:p>
    <w:p>
      <w:pPr>
        <w:pStyle w:val="null3"/>
      </w:pPr>
      <w:r>
        <w:rPr>
          <w:rFonts w:ascii="仿宋_GB2312" w:hAnsi="仿宋_GB2312" w:cs="仿宋_GB2312" w:eastAsia="仿宋_GB2312"/>
        </w:rPr>
        <w:t>5、财务状况报告：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pPr>
        <w:pStyle w:val="null3"/>
      </w:pPr>
      <w:r>
        <w:rPr>
          <w:rFonts w:ascii="仿宋_GB2312" w:hAnsi="仿宋_GB2312" w:cs="仿宋_GB2312" w:eastAsia="仿宋_GB2312"/>
        </w:rPr>
        <w:t>6、社会保障资金缴纳证明：提供响应文件提交截止时间前6个月内任意一个月已缴纳的社会保障资金缴存单据或社保机构开具的社会保险参保缴费情况证明，依法不需要缴纳社会保障资金的应提供相关文件证明；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7、税收缴纳证明：提供响应文件提交截止时间前6个月内任意一个月已缴纳的完税凭证或税务机关开具的完税证明（任意税种），依法免税的应提供相关文件证明；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8、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9、本项目不接受联合体投标：本项目不接受联合体投标,供应商需保证资质文件的真实、合法、有效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淳化县方里镇人民政府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方里镇东街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15353145962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李文燕、赵醒文、张耀峰，赵利科，李楠，董海龙，屈小军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15129107333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代理服务费收费标准：1、中标人向招标代理机构交纳服务费。 2、招标代理服务费参照原国家计委关于印发《招标代理服务收费管理暂行办法》的通知（计价格[2002]1980号）计取，由（中标人在领取中标通知书前）中标单位向亿诚建设项目管理有限公司交纳招标代理服务费。 3、户 名：亿诚建设项目管理有限公司 开户行：中国民生银行西安吉祥路支行 账 号：699295538 行 号：305791012112 注：请成交单位按照要求将服务费汇入以上指定账户，并备注“淳化县商业航天发动机总装测试工厂考古发掘项目代理服务费”（可简写），如因自身原因发生错误，产生的不利后果均由各单位自行承担。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淳化县方里镇人民政府</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淳化县方里镇人民政府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淳化县方里镇人民政府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按采购文件、投标文件及澄清函、项目检查情况等综合指标进行验收。各项指标均应符合验收标准及要求，并符合国家及行业标准要求。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联系人：李文燕</w:t>
      </w:r>
    </w:p>
    <w:p>
      <w:pPr>
        <w:pStyle w:val="null3"/>
      </w:pPr>
      <w:r>
        <w:rPr>
          <w:rFonts w:ascii="仿宋_GB2312" w:hAnsi="仿宋_GB2312" w:cs="仿宋_GB2312" w:eastAsia="仿宋_GB2312"/>
        </w:rPr>
        <w:t>联系电话：15129107333</w:t>
      </w:r>
    </w:p>
    <w:p>
      <w:pPr>
        <w:pStyle w:val="null3"/>
      </w:pPr>
      <w:r>
        <w:rPr>
          <w:rFonts w:ascii="仿宋_GB2312" w:hAnsi="仿宋_GB2312" w:cs="仿宋_GB2312" w:eastAsia="仿宋_GB2312"/>
        </w:rPr>
        <w:t>地址：陕西省西安市雁塔区丈八五路高科one尚城A座10F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本次文物发掘范围、工作流程均符合规范标准，完成该项目用地范围内文物发掘劳务工作，为确保文物发掘工作按期完成，确保项目顺利推进。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淳化县商业航天发动机总装测试工厂考古发掘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标的名称：淳化县商业航天发动机总装测试工厂考古发掘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项目名称：淳化县商业航天发动机总装测试工厂考古发掘项目</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项目概况：</w:t>
            </w:r>
            <w:r>
              <w:rPr>
                <w:rFonts w:ascii="仿宋_GB2312" w:hAnsi="仿宋_GB2312" w:cs="仿宋_GB2312" w:eastAsia="仿宋_GB2312"/>
                <w:sz w:val="24"/>
                <w:b/>
              </w:rPr>
              <w:t>项目位于</w:t>
            </w:r>
            <w:r>
              <w:rPr>
                <w:rFonts w:ascii="仿宋_GB2312" w:hAnsi="仿宋_GB2312" w:cs="仿宋_GB2312" w:eastAsia="仿宋_GB2312"/>
                <w:sz w:val="24"/>
                <w:b/>
                <w:color w:val="000000"/>
              </w:rPr>
              <w:t>陕西省淳化县方里镇魏村</w:t>
            </w:r>
            <w:r>
              <w:rPr>
                <w:rFonts w:ascii="仿宋_GB2312" w:hAnsi="仿宋_GB2312" w:cs="仿宋_GB2312" w:eastAsia="仿宋_GB2312"/>
                <w:sz w:val="24"/>
                <w:b/>
              </w:rPr>
              <w:t>。总占地面积</w:t>
            </w:r>
            <w:r>
              <w:rPr>
                <w:rFonts w:ascii="仿宋_GB2312" w:hAnsi="仿宋_GB2312" w:cs="仿宋_GB2312" w:eastAsia="仿宋_GB2312"/>
                <w:sz w:val="24"/>
                <w:b/>
              </w:rPr>
              <w:t>148066.7平方米（合222.1亩）。</w:t>
            </w:r>
          </w:p>
          <w:p>
            <w:pPr>
              <w:pStyle w:val="null3"/>
              <w:ind w:firstLine="482"/>
              <w:jc w:val="both"/>
            </w:pPr>
            <w:r>
              <w:rPr>
                <w:rFonts w:ascii="仿宋_GB2312" w:hAnsi="仿宋_GB2312" w:cs="仿宋_GB2312" w:eastAsia="仿宋_GB2312"/>
                <w:sz w:val="24"/>
                <w:b/>
              </w:rPr>
              <w:t>服务期：</w:t>
            </w:r>
            <w:r>
              <w:rPr>
                <w:rFonts w:ascii="仿宋_GB2312" w:hAnsi="仿宋_GB2312" w:cs="仿宋_GB2312" w:eastAsia="仿宋_GB2312"/>
                <w:sz w:val="24"/>
                <w:b/>
              </w:rPr>
              <w:t>90日历天；</w:t>
            </w:r>
          </w:p>
          <w:p>
            <w:pPr>
              <w:pStyle w:val="null3"/>
              <w:ind w:firstLine="482"/>
              <w:jc w:val="both"/>
            </w:pPr>
            <w:r>
              <w:rPr>
                <w:rFonts w:ascii="仿宋_GB2312" w:hAnsi="仿宋_GB2312" w:cs="仿宋_GB2312" w:eastAsia="仿宋_GB2312"/>
                <w:sz w:val="24"/>
                <w:b/>
              </w:rPr>
              <w:t>服务地点：咸阳市；淳化县方里镇魏村</w:t>
            </w:r>
          </w:p>
          <w:p>
            <w:pPr>
              <w:pStyle w:val="null3"/>
              <w:ind w:firstLine="482"/>
              <w:jc w:val="both"/>
            </w:pPr>
            <w:r>
              <w:rPr>
                <w:rFonts w:ascii="仿宋_GB2312" w:hAnsi="仿宋_GB2312" w:cs="仿宋_GB2312" w:eastAsia="仿宋_GB2312"/>
                <w:sz w:val="24"/>
                <w:b/>
              </w:rPr>
              <w:t>最高限价：</w:t>
            </w:r>
            <w:r>
              <w:rPr>
                <w:rFonts w:ascii="仿宋_GB2312" w:hAnsi="仿宋_GB2312" w:cs="仿宋_GB2312" w:eastAsia="仿宋_GB2312"/>
                <w:sz w:val="24"/>
                <w:b/>
              </w:rPr>
              <w:t>1300000.00元（壹佰叁拾万元整）；</w:t>
            </w:r>
          </w:p>
          <w:p>
            <w:pPr>
              <w:pStyle w:val="null3"/>
              <w:ind w:firstLine="482"/>
              <w:jc w:val="both"/>
            </w:pPr>
            <w:r>
              <w:rPr>
                <w:rFonts w:ascii="仿宋_GB2312" w:hAnsi="仿宋_GB2312" w:cs="仿宋_GB2312" w:eastAsia="仿宋_GB2312"/>
                <w:sz w:val="24"/>
                <w:b/>
              </w:rPr>
              <w:t>服务范围：配合区域内考古发掘单位按时完成土方工作、现场安全管理、支护加固等内容；</w:t>
            </w:r>
          </w:p>
          <w:p>
            <w:pPr>
              <w:pStyle w:val="null3"/>
              <w:ind w:firstLine="482"/>
              <w:jc w:val="both"/>
            </w:pPr>
            <w:r>
              <w:rPr>
                <w:rFonts w:ascii="仿宋_GB2312" w:hAnsi="仿宋_GB2312" w:cs="仿宋_GB2312" w:eastAsia="仿宋_GB2312"/>
                <w:sz w:val="24"/>
                <w:b/>
              </w:rPr>
              <w:t>附：墓葬清单</w:t>
            </w:r>
          </w:p>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2-1.</w:t>
            </w:r>
            <w:r>
              <w:rPr>
                <w:rFonts w:ascii="仿宋_GB2312" w:hAnsi="仿宋_GB2312" w:cs="仿宋_GB2312" w:eastAsia="仿宋_GB2312"/>
                <w:sz w:val="24"/>
                <w:b/>
              </w:rPr>
              <w:t>考古勘探资料登记表（古代文化遗存）</w:t>
            </w:r>
          </w:p>
          <w:tbl>
            <w:tblPr>
              <w:tblBorders>
                <w:top w:val="none" w:color="000000" w:sz="4"/>
                <w:left w:val="none" w:color="000000" w:sz="4"/>
                <w:bottom w:val="none" w:color="000000" w:sz="4"/>
                <w:right w:val="none" w:color="000000" w:sz="4"/>
                <w:insideH w:val="none"/>
                <w:insideV w:val="none"/>
              </w:tblBorders>
            </w:tblPr>
            <w:tblGrid>
              <w:gridCol w:w="216"/>
              <w:gridCol w:w="300"/>
              <w:gridCol w:w="232"/>
              <w:gridCol w:w="208"/>
              <w:gridCol w:w="264"/>
              <w:gridCol w:w="264"/>
              <w:gridCol w:w="264"/>
              <w:gridCol w:w="264"/>
              <w:gridCol w:w="264"/>
              <w:gridCol w:w="264"/>
            </w:tblGrid>
            <w:tr>
              <w:tc>
                <w:tcPr>
                  <w:tcW w:type="dxa" w:w="1748"/>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勘探单位：陕西省考古研究院</w:t>
                  </w:r>
                </w:p>
              </w:tc>
              <w:tc>
                <w:tcPr>
                  <w:tcW w:type="dxa" w:w="2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2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编号</w:t>
                  </w:r>
                </w:p>
              </w:tc>
              <w:tc>
                <w:tcPr>
                  <w:tcW w:type="dxa" w:w="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形制</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开口深</w:t>
                  </w: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初步</w:t>
                  </w:r>
                </w:p>
                <w:p>
                  <w:pPr>
                    <w:pStyle w:val="null3"/>
                    <w:jc w:val="center"/>
                  </w:pPr>
                  <w:r>
                    <w:rPr>
                      <w:rFonts w:ascii="仿宋_GB2312" w:hAnsi="仿宋_GB2312" w:cs="仿宋_GB2312" w:eastAsia="仿宋_GB2312"/>
                      <w:sz w:val="22"/>
                      <w:b/>
                      <w:color w:val="000000"/>
                    </w:rPr>
                    <w:t>断代</w:t>
                  </w:r>
                </w:p>
              </w:tc>
              <w:tc>
                <w:tcPr>
                  <w:tcW w:type="dxa" w:w="79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墓</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道</w:t>
                  </w:r>
                </w:p>
              </w:tc>
              <w:tc>
                <w:tcPr>
                  <w:tcW w:type="dxa" w:w="79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墓</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室</w:t>
                  </w:r>
                </w:p>
              </w:tc>
            </w:tr>
            <w:tr>
              <w:tc>
                <w:tcPr>
                  <w:tcW w:type="dxa" w:w="216"/>
                  <w:vMerge/>
                  <w:tcBorders>
                    <w:top w:val="none" w:color="000000" w:sz="4"/>
                    <w:left w:val="single" w:color="000000" w:sz="4"/>
                    <w:bottom w:val="single" w:color="000000" w:sz="4"/>
                    <w:right w:val="single" w:color="000000" w:sz="4"/>
                  </w:tcBorders>
                </w:tcPr>
                <w:p/>
              </w:tc>
              <w:tc>
                <w:tcPr>
                  <w:tcW w:type="dxa" w:w="300"/>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长</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宽</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深</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长</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宽</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深</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6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斜坡墓道土洞墓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方坑墓道土洞墓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方坑墓道土洞墓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0.8-1.6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0.9-1.5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0.8-0.9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斜坡墓道土洞墓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0.9-1.2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斜坡墓道土洞墓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斜坡墓道土洞墓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Borders>
                <w:top w:val="none" w:color="000000" w:sz="4"/>
                <w:left w:val="none" w:color="000000" w:sz="4"/>
                <w:bottom w:val="none" w:color="000000" w:sz="4"/>
                <w:right w:val="none" w:color="000000" w:sz="4"/>
                <w:insideH w:val="none"/>
                <w:insideV w:val="none"/>
              </w:tblBorders>
            </w:tblPr>
            <w:tblGrid>
              <w:gridCol w:w="182"/>
              <w:gridCol w:w="310"/>
              <w:gridCol w:w="434"/>
              <w:gridCol w:w="285"/>
              <w:gridCol w:w="239"/>
              <w:gridCol w:w="364"/>
              <w:gridCol w:w="364"/>
              <w:gridCol w:w="364"/>
            </w:tblGrid>
            <w:tr>
              <w:tc>
                <w:tcPr>
                  <w:tcW w:type="dxa" w:w="2542"/>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勘探单位：陕西省考古研究院</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编号</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形状</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开口深</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初步</w:t>
                  </w:r>
                </w:p>
                <w:p>
                  <w:pPr>
                    <w:pStyle w:val="null3"/>
                    <w:jc w:val="center"/>
                  </w:pPr>
                  <w:r>
                    <w:rPr>
                      <w:rFonts w:ascii="仿宋_GB2312" w:hAnsi="仿宋_GB2312" w:cs="仿宋_GB2312" w:eastAsia="仿宋_GB2312"/>
                      <w:sz w:val="22"/>
                      <w:b/>
                      <w:color w:val="000000"/>
                    </w:rPr>
                    <w:t>断代</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长</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宽</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深</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H7</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H8</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2.5-2.7</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H9</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3.0-3.5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H17</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H18</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H19</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3.3-5.1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H27</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H28</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H29</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H37</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H38</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H39</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0.9-2.4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H47</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H48</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H49</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不规则形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H50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H51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H52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灰坑</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椭圆形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0.9-1.6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古代</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2.7-4.1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自提交验收申请后7个工作日内，按磋商响应文件及行业标准相关要求进行验收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进度款，甲乙双方签订合同，达到付款条件起10个工作日内，支付合同总金额的30.0%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进度款，完成项目进度60%，达到付款条件起10个工作日内，支付合同总金额的30.0%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进度款，项目整体完工，达到付款条件起10个工作日内，支付合同总金额的40.0%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甲乙双方自行协商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 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法定代表人直接参加投标的，须出具法定代表人身份证明书（含法人身份证复印件）；法定代表人授权代表参加投标的，须出具法定代表人授权书（附法定代表人身份证复印件及被授权人身份证复印件）；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本项目不接受联合体投标,供应商需保证资质文件的真实、合法、有效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投标人投标报价未超出采购预算或最高限价且报价唯一</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供应商应提交的相关资格证明材料.docx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不存在其它不符合法律法规或采购文件规定的投标无效情形</w:t>
            </w:r>
          </w:p>
        </w:tc>
        <w:tc>
          <w:tcPr>
            <w:tcW w:type="dxa" w:w="1661"/>
          </w:tcPr>
          <w:p>
            <w:pPr>
              <w:pStyle w:val="null3"/>
            </w:pPr>
            <w:r>
              <w:rPr>
                <w:rFonts w:ascii="仿宋_GB2312" w:hAnsi="仿宋_GB2312" w:cs="仿宋_GB2312" w:eastAsia="仿宋_GB2312"/>
              </w:rPr>
              <w:t>供应商应提交的相关资格证明材料.docx 商务应答表 服务内容及服务要求应答表 其他.docx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提出针对于本项目的实施方案，方案内容包含：①考古发掘土方实施方案；②应急处理方案；③完工后项目的后续服务方案。 二、评审标准 1、完整性：方案须全面，对评审内容中的各项要求有详细描述； 2、可实施性：切合本项目实际情况，实施步骤清晰、合理； 3、针对性：方案能够紧扣项目实际情况，内容科学合理。 三、赋分标准（满分9分） ①考古发掘土方实施方案：每完全满足一项评审标准得1分，满分3分； ②应急处理方案：每完全满足一项评审标准得1分，满分3分； ③完工后项目的后续服务方案：每完全满足一项评审标准得1分，满分3分；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 提出针对于本项目的服务质量保障方案，方案内容包含：①项目质量保证；②项目实施进度安排；③日常服务响应说明等。 二、评审标准 1、完整性：方案须全面，对评审内容中的各项要求有详细描述； 2、可实施性：切合本项目实际情况，实施步骤清晰、合理； 3、针对性：方案能够紧扣项目实际情况，内容科学合理。 三、赋分标准（满分9分） ①项目质量保证：每完全满足一项评审标准得1分，满分3分； ②项目实施进度安排：每完全满足一项评审标准得1分，满分3分； ③日常服务响应说明：每完全满足一项评审标准得1分，满分3分；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提出针对于本项目的服务质量保障方案，方案内容包含：①施工安全保障计划；②安全保障具体措施；③人员安全保障方案等。 二、评审标准 1、完整性：方案须全面，对评审内容中的各项要求有详细描述； 2、可实施性：切合本项目实际情况，实施步骤清晰、合理； 3、针对性：方案能够紧扣项目实际情况，内容科学合理。 三、赋分标准（满分9分） ①施工安全保障计划：每完全满足一项评审标准得1分，满分3分； ②安全保障具体措施：每完全满足一项评审标准得1分，满分3分； ③人员安全保障方案等：每完全满足一项评审标准得1分，满分3分；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 提出针对于本项目的廉洁、保密措施，内容包含：①发掘过程中发现文物、遗迹等的廉洁方案；②保证工作人员恪守工作制度、廉洁自律措施；③保密管理体系；④项目实施过程对文物、古遗迹及其他重要信息的保密制度等。 二、评审标准 1、完整性：方案须全面，对评审内容中的各项要求有详细描述； 2、可实施性：切合本项目实际情况，实施步骤清晰、合理； 3、针对性：方案能够紧扣项目实际情况，内容科学合理。 三、赋分标准（满分12分） ①发掘过程中发现文物、遗迹等的廉洁方案：每完全满足一项评审标准得1分，满分3分； ②保证工作人员恪守工作制度、廉洁自律措施：每完全满足一项评审标准得1分，满分3分； ③保密管理体系：每完全满足一项评审标准得1分，满分3分； ④项目实施过程对文物、古遗迹及其他重要信息的保密制度：每完全满足一项评审标准得1分，满分3分；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文物安全管理制度体系</w:t>
            </w:r>
          </w:p>
        </w:tc>
        <w:tc>
          <w:tcPr>
            <w:tcW w:type="dxa" w:w="2492"/>
          </w:tcPr>
          <w:p>
            <w:pPr>
              <w:pStyle w:val="null3"/>
            </w:pPr>
            <w:r>
              <w:rPr>
                <w:rFonts w:ascii="仿宋_GB2312" w:hAnsi="仿宋_GB2312" w:cs="仿宋_GB2312" w:eastAsia="仿宋_GB2312"/>
              </w:rPr>
              <w:t>供应商同时具备文物安全、土方开挖安全、文物突发事件处置、现场看护四项完整制度得12分，缺一类扣3分，扣完为止。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1、项目负责人学历，满分5分； 项目负责人本科及以上学历得5分，其他不得分，提供学历证书复印件并加盖供应商公章； 2、项目负责人职称，满分5分； 项目负责人中级职称3分，高级及以上技术职称得5分，其他不得分，提供职称证书复印件并加盖供应商公章； 3、拟派项目团队人员，满分10分； 拟派项目团队人员（除项目负责人外）5人及以上得10分，其他不得分；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供应商提供2023年6月至今类似项目业绩合同（以合同签订时间为准）；一个业绩得3分，最高得9分； 评审依据：提供合同复印件并加盖公章。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价格分统一采用低价优先法计算，即满足磋商文件要求且价格最低的投标报价为投标基准价，其价格分为满分。其他供应商的价格分统一按照下列公式计算： 投标报价得分=(投标基准价／投标报价)×价格权值×100，计算分数时四舍五入取小数点后两位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