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版本号：HWZBDL-2026-00820260626001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2026年改善长安一中办学条件设备采购项目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HWZBDL-2026-008</w:t>
      </w:r>
      <w:r>
        <w:br/>
      </w:r>
      <w:r>
        <w:br/>
      </w:r>
      <w:r>
        <w:br/>
      </w:r>
    </w:p>
    <w:p>
      <w:pPr>
        <w:pStyle w:val="null3"/>
        <w:jc w:val="center"/>
        <w:outlineLvl w:val="2"/>
      </w:pPr>
      <w:r>
        <w:rPr>
          <w:rFonts w:ascii="仿宋_GB2312" w:hAnsi="仿宋_GB2312" w:cs="仿宋_GB2312" w:eastAsia="仿宋_GB2312"/>
          <w:sz w:val="28"/>
          <w:b/>
        </w:rPr>
        <w:t>西安市长安区第一中学</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西安市长安区第一中学</w:t>
      </w:r>
      <w:r>
        <w:rPr>
          <w:rFonts w:ascii="仿宋_GB2312" w:hAnsi="仿宋_GB2312" w:cs="仿宋_GB2312" w:eastAsia="仿宋_GB2312"/>
        </w:rPr>
        <w:t>委托，拟对</w:t>
      </w:r>
      <w:r>
        <w:rPr>
          <w:rFonts w:ascii="仿宋_GB2312" w:hAnsi="仿宋_GB2312" w:cs="仿宋_GB2312" w:eastAsia="仿宋_GB2312"/>
        </w:rPr>
        <w:t>2026年改善长安一中办学条件设备采购项目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HWZBDL-2026-008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2026年改善长安一中办学条件设备采购项目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为切实保障日常教学与办公工作有序开展，满足日常师生教育教学工作需求，在实验操作、课程教学等场景下的需求，进一步提升教学质量与办公效率，现需采购一批多媒体设备及学生课桌凳教育教学设备。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西安市长安区韦曲街道西四府村甲字2号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13572176325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西安市经开区凤城二路蓝海风中心写字楼7层703室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19329975060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代理服务费收费标准：1、参照国家计委颁发的《招标代理服务收费管理暂行办法》（计价格〔2002〕1980号）和财政部颁发的《政府采购代理机构管理暂行办法》 (财库〔2018〕2号) 的有关规定执行，不足8000元按8000元收取。 2、代理服务费由成交供应商支付，在领取《成交通知书》前，由成交供应商一次性支付给华文项目管理有限公司。</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西安市长安区第一中学</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华文项目管理有限公司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乙方保证合同所有设备是全新的（包括零部件），交货验收时，乙方须提供质检部门产品抽样检查合格的检测报告（或生产厂家自检报告）及所提供货物（产品）的合格证、装箱清单、配件、随机工具、用户使用手册（产品使用说明书）、保修卡等资料交付给甲方； （2）到货验收：硬件设备到达甲方指定地点后，组织现场开箱请点验货；所到设备的型号和数量必须与合同一致，甲方和乙方共同签署到货验收单；未签收到货验收单的货物不得擅自开箱安装；按合同第一条款的货物清单和装箱单经行逐一核对，同时检查货物外观，是否有划痕或破损的，并做好相应记录； 按乙方承诺的产品包装环保材料进行验收，必要时乙方需提供检测报告，甲方发现虚假承诺时，将扣除总货款的5%作为处罚。 （3）货物初验：乙方应在货物到货之日起，日内全部完成安装调试完毕；乙方安装调试完毕后日内完成初步验收；初步验收合格后，进入日试用期；试用期间发生重大质量问题，修复后试用期相应顺延； （4）安装完成，乙方进行自测并形成自测报告（软硬件），出现的问题限期整改；自检最终通过后，乙方提出验收申请，甲方组织相关人员进行最终验收；货物终验：试用期结束后日内完成最终验收； （5）质量验收合格，双方签署质量验收报告。 （6）设备采购从通过最终验收之日起进入保修期，提供原厂保修升级。 2.货物验收依据： （1）竞争性谈判文件； （2）响应文件； （3）采购合同及补充协议； （4）质检部门抽样检查货物（产品）合格的检测报告。 3.货物验收时发现问题的处理办法： （1）乙方提供不符合竞争性谈判文件和本合同规定的货物（产品），甲方有权拒绝接受；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（3）如货物经乙方2次维修仍不能达到合同约定的质量标准，甲方有权退货，并视作乙方不能交付货物而须支付违约赔偿金给甲方，甲方还可依法追究乙方的违约责任；  （4）货物安装完成后10日内，甲方无故不进行验收工作并已使用货物的，视同已安装调试完成并验收合格；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联系人：蔡工</w:t>
      </w:r>
    </w:p>
    <w:p>
      <w:pPr>
        <w:pStyle w:val="null3"/>
      </w:pPr>
      <w:r>
        <w:rPr>
          <w:rFonts w:ascii="仿宋_GB2312" w:hAnsi="仿宋_GB2312" w:cs="仿宋_GB2312" w:eastAsia="仿宋_GB2312"/>
        </w:rPr>
        <w:t>联系电话：19329975060</w:t>
      </w:r>
    </w:p>
    <w:p>
      <w:pPr>
        <w:pStyle w:val="null3"/>
      </w:pPr>
      <w:r>
        <w:rPr>
          <w:rFonts w:ascii="仿宋_GB2312" w:hAnsi="仿宋_GB2312" w:cs="仿宋_GB2312" w:eastAsia="仿宋_GB2312"/>
        </w:rPr>
        <w:t>地址：西安市经开区凤城二路蓝海风中心写字楼7层703室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为切实保障日常教学与办公工作有序开展，满足学校正常教育教学需求，进一步提升教学质量与办公效率，现需采购一批教育教学设备。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多媒体设备及配套桌椅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标的名称：多媒体设备及配套桌椅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1"/>
              <w:gridCol w:w="224"/>
              <w:gridCol w:w="185"/>
              <w:gridCol w:w="2467"/>
              <w:gridCol w:w="235"/>
              <w:gridCol w:w="253"/>
              <w:gridCol w:w="342"/>
            </w:tblGrid>
            <w:tr>
              <w:tc>
                <w:tcPr>
                  <w:tcW w:type="dxa" w:w="12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单人课桌凳</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18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产品名称</w:t>
                  </w:r>
                </w:p>
              </w:tc>
              <w:tc>
                <w:tcPr>
                  <w:tcW w:type="dxa" w:w="246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技术参数</w:t>
                  </w:r>
                </w:p>
              </w:tc>
              <w:tc>
                <w:tcPr>
                  <w:tcW w:type="dxa" w:w="23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数量</w:t>
                  </w:r>
                </w:p>
              </w:tc>
              <w:tc>
                <w:tcPr>
                  <w:tcW w:type="dxa" w:w="25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单位</w:t>
                  </w:r>
                </w:p>
              </w:tc>
              <w:tc>
                <w:tcPr>
                  <w:tcW w:type="dxa" w:w="342"/>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所属行业</w:t>
                  </w:r>
                </w:p>
              </w:tc>
            </w:tr>
            <w:tr>
              <w:tc>
                <w:tcPr>
                  <w:tcW w:type="dxa" w:w="121"/>
                  <w:vMerge/>
                  <w:tcBorders>
                    <w:top w:val="none" w:color="000000" w:sz="4"/>
                    <w:left w:val="none" w:color="000000" w:sz="4"/>
                    <w:bottom w:val="none" w:color="000000" w:sz="4"/>
                    <w:right w:val="none" w:color="000000" w:sz="4"/>
                  </w:tcBorders>
                </w:tcPr>
                <w:p/>
              </w:tc>
              <w:tc>
                <w:tcPr>
                  <w:tcW w:type="dxa" w:w="2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8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单人课桌凳</w:t>
                  </w: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1.凳子：凳面参考长420mm*宽320mm*厚40mm，一级环保PP塑料，一次性注塑成型，表面透气槽，透气槽不少于20条，每条孔长≥60mm，宽度约6mm；均分凳面，横向4排，纵向5排，面板底部嵌入两根承重方钢管≥10mm*20mm 壁厚1.0mm，长度约380mm。</w:t>
                  </w:r>
                </w:p>
              </w:tc>
              <w:tc>
                <w:tcPr>
                  <w:tcW w:type="dxa" w:w="23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300</w:t>
                  </w:r>
                </w:p>
              </w:tc>
              <w:tc>
                <w:tcPr>
                  <w:tcW w:type="dxa" w:w="253"/>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个</w:t>
                  </w:r>
                </w:p>
              </w:tc>
              <w:tc>
                <w:tcPr>
                  <w:tcW w:type="dxa" w:w="342"/>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工业</w:t>
                  </w:r>
                </w:p>
              </w:tc>
            </w:tr>
            <w:tr>
              <w:tc>
                <w:tcPr>
                  <w:tcW w:type="dxa" w:w="121"/>
                  <w:vMerge/>
                  <w:tcBorders>
                    <w:top w:val="none" w:color="000000" w:sz="4"/>
                    <w:left w:val="none" w:color="000000" w:sz="4"/>
                    <w:bottom w:val="none" w:color="000000" w:sz="4"/>
                    <w:right w:val="non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凳钢架：地脚钢管采用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50*1.2mm扁圆型冷轧钢管，椅立柱采用约30mm*50mm*厚1.2mm扁圆形钢管；升降内管采用约20mm*40mm*厚1.2mm扁圆形钢管；连接横档采用约20*40*厚1.2mm椭圆形国标冷轧钢管，凳面连接管采用钢管约20*40*1.2mm椭圆钢管，满焊焊接；焊接部位光滑、平整、无毛刺。表面涂装，经静电粉末喷涂。课桌椅升降采用螺丝升降，参考高度：370mm-460mm。</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none" w:color="000000" w:sz="4"/>
                    <w:bottom w:val="none" w:color="000000" w:sz="4"/>
                    <w:right w:val="non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3.脚垫及升降套材质：环保PP塑料，一次成型静音脚垫。</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单人课桌</w:t>
                  </w:r>
                </w:p>
              </w:tc>
              <w:tc>
                <w:tcPr>
                  <w:tcW w:type="dxa" w:w="2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18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产品名称</w:t>
                  </w:r>
                </w:p>
              </w:tc>
              <w:tc>
                <w:tcPr>
                  <w:tcW w:type="dxa" w:w="246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技术参数</w:t>
                  </w:r>
                </w:p>
              </w:tc>
              <w:tc>
                <w:tcPr>
                  <w:tcW w:type="dxa" w:w="23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数量</w:t>
                  </w:r>
                </w:p>
              </w:tc>
              <w:tc>
                <w:tcPr>
                  <w:tcW w:type="dxa" w:w="2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单位</w:t>
                  </w:r>
                </w:p>
              </w:tc>
              <w:tc>
                <w:tcPr>
                  <w:tcW w:type="dxa" w:w="34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所属行业</w:t>
                  </w:r>
                </w:p>
              </w:tc>
            </w:tr>
            <w:tr>
              <w:tc>
                <w:tcPr>
                  <w:tcW w:type="dxa" w:w="121"/>
                  <w:vMerge/>
                  <w:tcBorders>
                    <w:top w:val="none" w:color="000000" w:sz="4"/>
                    <w:left w:val="single" w:color="000000" w:sz="4"/>
                    <w:bottom w:val="single" w:color="000000" w:sz="4"/>
                    <w:right w:val="single" w:color="000000" w:sz="4"/>
                  </w:tcBorders>
                </w:tcPr>
                <w:p/>
              </w:tc>
              <w:tc>
                <w:tcPr>
                  <w:tcW w:type="dxa" w:w="2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单人课桌</w:t>
                  </w:r>
                </w:p>
              </w:tc>
              <w:tc>
                <w:tcPr>
                  <w:tcW w:type="dxa" w:w="2467"/>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课桌：</w:t>
                  </w:r>
                </w:p>
              </w:tc>
              <w:tc>
                <w:tcPr>
                  <w:tcW w:type="dxa" w:w="23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142</w:t>
                  </w:r>
                </w:p>
              </w:tc>
              <w:tc>
                <w:tcPr>
                  <w:tcW w:type="dxa" w:w="2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个</w:t>
                  </w:r>
                </w:p>
              </w:tc>
              <w:tc>
                <w:tcPr>
                  <w:tcW w:type="dxa" w:w="342"/>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工业</w:t>
                  </w: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c>
                <w:tcPr>
                  <w:tcW w:type="dxa" w:w="2467"/>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1.面板参考规格：650*455*25mm， ABS耐冲击塑料一级材料一体射出成型。靠胸前处有一内弧造型，面板前端设置一字型防滑落凸条，并设有笔槽。面板底部镶入两根方型钢管，并与面板底部平齐。尺寸参考规格为15mm*30mm*1.0mm。由螺丝锁付于面板底部。</w:t>
                  </w:r>
                </w:p>
              </w:tc>
              <w:tc>
                <w:tcPr>
                  <w:tcW w:type="dxa" w:w="23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c>
                <w:tcPr>
                  <w:tcW w:type="dxa" w:w="2467"/>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2.书箱 采用≥0.7mm厚冷轧钢板一次性成开型拉伸斗。参考规格：450*300*150mm，整体成形式课桌抽屉。</w:t>
                  </w:r>
                </w:p>
              </w:tc>
              <w:tc>
                <w:tcPr>
                  <w:tcW w:type="dxa" w:w="23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c>
                <w:tcPr>
                  <w:tcW w:type="dxa" w:w="2467"/>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3.桌钢架：桌脚立管采用尺寸≥30*50*1.4mm椭圆钢管，升降内管采用≥20*40*1.2mm椭圆钢管，组装横档采用≥30*50*1.0mm椭圆钢管，桌面下加强U字型矩形钢管2≥0*20*1.0mm。全周满焊焊接。</w:t>
                  </w:r>
                </w:p>
              </w:tc>
              <w:tc>
                <w:tcPr>
                  <w:tcW w:type="dxa" w:w="23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c>
                <w:tcPr>
                  <w:tcW w:type="dxa" w:w="2467"/>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2、钢管架表面须经静电粉末喷涂。</w:t>
                  </w:r>
                </w:p>
              </w:tc>
              <w:tc>
                <w:tcPr>
                  <w:tcW w:type="dxa" w:w="23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c>
                <w:tcPr>
                  <w:tcW w:type="dxa" w:w="2467"/>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4.采用螺丝调节，调节高度约700至790mm。</w:t>
                  </w:r>
                </w:p>
              </w:tc>
              <w:tc>
                <w:tcPr>
                  <w:tcW w:type="dxa" w:w="23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c>
                <w:tcPr>
                  <w:tcW w:type="dxa" w:w="246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4.脚垫：环保PP塑料，一次成型静音脚垫。</w:t>
                  </w:r>
                </w:p>
              </w:tc>
              <w:tc>
                <w:tcPr>
                  <w:tcW w:type="dxa" w:w="235"/>
                  <w:vMerge/>
                  <w:tcBorders>
                    <w:top w:val="none" w:color="000000" w:sz="4"/>
                    <w:left w:val="single" w:color="000000" w:sz="4"/>
                    <w:bottom w:val="single" w:color="000000" w:sz="4"/>
                    <w:right w:val="single" w:color="000000" w:sz="4"/>
                  </w:tcBorders>
                </w:tcPr>
                <w:p/>
              </w:tc>
              <w:tc>
                <w:tcPr>
                  <w:tcW w:type="dxa" w:w="253"/>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r>
            <w:tr>
              <w:tc>
                <w:tcPr>
                  <w:tcW w:type="dxa" w:w="12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智慧黑板</w:t>
                  </w:r>
                </w:p>
              </w:tc>
              <w:tc>
                <w:tcPr>
                  <w:tcW w:type="dxa" w:w="2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18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名称</w:t>
                  </w:r>
                </w:p>
              </w:tc>
              <w:tc>
                <w:tcPr>
                  <w:tcW w:type="dxa" w:w="24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技术参数</w:t>
                  </w:r>
                </w:p>
              </w:tc>
              <w:tc>
                <w:tcPr>
                  <w:tcW w:type="dxa" w:w="23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单位</w:t>
                  </w:r>
                </w:p>
              </w:tc>
              <w:tc>
                <w:tcPr>
                  <w:tcW w:type="dxa" w:w="25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数量</w:t>
                  </w:r>
                </w:p>
              </w:tc>
              <w:tc>
                <w:tcPr>
                  <w:tcW w:type="dxa" w:w="34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所属行业</w:t>
                  </w:r>
                </w:p>
              </w:tc>
            </w:tr>
            <w:tr>
              <w:tc>
                <w:tcPr>
                  <w:tcW w:type="dxa" w:w="121"/>
                  <w:vMerge/>
                  <w:tcBorders>
                    <w:top w:val="none" w:color="000000" w:sz="4"/>
                    <w:left w:val="single" w:color="000000" w:sz="4"/>
                    <w:bottom w:val="single" w:color="000000" w:sz="4"/>
                    <w:right w:val="single" w:color="000000" w:sz="4"/>
                  </w:tcBorders>
                </w:tcPr>
                <w:p/>
              </w:tc>
              <w:tc>
                <w:tcPr>
                  <w:tcW w:type="dxa" w:w="2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8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智能体黑板</w:t>
                  </w: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1.整机采用三拼接平面一体化设计，无推拉式结构及外露连接线。整机尺寸宽度≥4200mm，高度≥1200mm。整机屏幕边缘采用金属圆角包边防护。</w:t>
                  </w:r>
                </w:p>
              </w:tc>
              <w:tc>
                <w:tcPr>
                  <w:tcW w:type="dxa" w:w="23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253"/>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c>
                <w:tcPr>
                  <w:tcW w:type="dxa" w:w="342"/>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工业</w:t>
                  </w: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2.整机中间主屏及两侧副屏可支持多种媒介（普通粉笔、液体粉笔、水溶性粉笔等）进行板书书写。</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3.中央主屏幕显示采用≥86英寸UHD超高清LED液晶屏，显示比例16:9，屏幕分辨率≥3840*2160，具备防眩光效果。</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4.整机设备副屏支持磁吸附功能。</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5.采用红外触控方式，支持≥40点触控及书写划线。</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6.★整机设备内置2.2声道扬声器，为了避免前排学生阻挡声音向后排传播时形成声影区，影响后排学生听到的信号的声压级和清晰度降低，扬声器安装在较高位置的大屏上边框上，最大功率≥82W。</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7.整机所有扬声器均采用模块化设计。</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8.整机具有减滤蓝光功能，可通过物理功能按键启用护眼模式。</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9.设备支持通过物理按键启动录屏功能，可将屏幕中显示的课件、音频内容与讲授人声同步录制。</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10.★整机内置一体化集成设计的非独立摄像头，可拍摄≥4850万像素数的照片。</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11.整机支持通过人脸识别进行登录账号。</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12.★整机可通过内置的均光技术，使其大屏屏幕亮度观看视角满足GB40070关于亮度可视角≥120度的国标要求。</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13.整机支持纸质护眼模式，可以在所有显示内容下实现画面纹理的实时调整；</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14.整机具备学生视力的检测，进行测试后可生成视力检测的结论，并以此建立学生视力档案。</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15.整机配套教学应用APP可通过wifi直连技术，可直接连接并登录教学大屏设备。</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16.★大屏可通过内置的话筒定位软件来识别现场发言学生的具体方位。</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17.整机内置双WiFi6无线网卡（不接受外接），在Android和Windows系统下，可实现Wi-Fi无线上网连接、AP无线热点发射。</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18.整机支持发出各种频率信号，移动端设备通过麦克风接收到信号后，可以与整机不在同一局域网内，也可实现彼此之间的配对。</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19.整机不低于支持蓝牙Bluetooth 5.4标准。</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20.整机嵌入式系统版本≥Android 15。</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21.★整机CPU芯片，WIFI与蓝牙芯片、摄像头图像处理芯片、均采用国产自主芯片。</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22.整机白板软件支持智能图表绘制，可将手绘表格转化为智能表格，形成表格对象后表格中书写区域可根据书写内容自适应调整大小，支持将表格外书写内容一键拖动到表格中。</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23.整机支持与大屏实现双向对话交流（通过内置软件）。</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24.整机侧边栏内置朗读工具，通过内置的音频设备监测学生的现场朗读情况。</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25.支持在无任何外部设备的情况下，实时录制学生朗读内容，识别学生声纹并进行统一身份登录，登录后自动获取个人云端教学课件列表，打开教学白板软件时可跳过软件自带登录步骤。</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26.整机支持对大屏、视频展台等拍摄的显示内容进行识别，并对其进行应对的解释。</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27.★整机支持通过内置软件进行各种交流而获得遗址、文物、展品等各类知识，学生可通过语言进行提问，征集软件可以对提问进行详尽的答复。</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28.采用抽拉内置式模块化电脑，抽拉内置式，PC模块可插入整机，可实现无单独接线的插拔。按压式卡扣方式.</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29.搭载不低于Intel 12代酷睿 i5CPU。内存：≥8GB DDR4笔记本内存或以上配置。硬盘：≥256GB SSD固态硬盘或以上配置。</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32.具有独立非外扩展的电脑USB接口：电脑上至少具备3个USB3.0 接口。</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8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备授课软件</w:t>
                  </w: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1.备授课一体化多场景。</w:t>
                  </w:r>
                </w:p>
              </w:tc>
              <w:tc>
                <w:tcPr>
                  <w:tcW w:type="dxa" w:w="23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253"/>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c>
                <w:tcPr>
                  <w:tcW w:type="dxa" w:w="342"/>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软件和信息技术服务业</w:t>
                  </w: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2.电子白板软件提供至少三种登录方式。各级菜单功能按钮和图标的各级菜单均配备明确标识。</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3.支持用户在软件中打开pptx格式文件，且用户可在软件中自由编辑原文件中的图片、文字、表格等元素，并支持修改原文件中的动画。老师利用软件互动功能在原有PPT基础上修改课件。</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4.文本框：支持文本输入并可快速设置字体、大小、颜色、粗体、斜体、下划线、上角标、下角标、项目符号，方便指数、化学式等复杂文本的输入。可对文本的对齐、缩进、行高等进行设置。</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5.多媒体导入：支持导入图片、音视频等多媒体文件供备课使用</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6.提供专门的白板软件手机版，在手机上登录账号后，支持以列表的方式查看该账号里所有的云课件，预览模式下的云课件支持元素拖拽、克隆、置顶、删除等互动功能，支持在手机上进行思维导图、课堂活动等操作。</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7.支持通过U盘制作U盘钥匙快速登录账号，并同步云端课件。</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8.具有在课件中生成评课和课件分享二维码，方便老师实时评课，评课标准为央馆一师一优课标准模板，或学校可根据实际情况自己定义，并支持主观评价。</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9.提供教学设计功能，支持教师根据教学需要自主添加课堂活动。课堂活动中涵盖趣味分类，超级分类，选词填空，知识配对，分组竞争，判断对错等环节，支持调整编辑或增删各个环节。</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10.支持创建分组竞争游戏，教师可设置正确项／干扰项，让两组学生开展竞争游戏。</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11.支持在备授课软件中录制教学小视频：个人空间支持语音识别转文字，支持视频内课件控制，支持在个人空间查看录制数量、累计时长数据，提供上述数据个人与全校教师的对比情况。在白板软件直接录制。</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12.支持对思维导图任意相邻节点进行总结，老师知识点的总结呈现，同时在节点引出联系内容，知识点的关联和总结。</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13.AI智能英语听写工具：配合英语学科听写工具，覆盖小初高不少于6000个英语单词及多个常用教材版本，单词内容与教材章节相一致，支持自定义选择单词。自定义听写频率和次数，一键生成听写卡；授课模式下支持一键开启听写朗读。</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8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视频展台</w:t>
                  </w: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1.采用三折叠开合式托板，展开后托板尺寸≥A4面积。</w:t>
                  </w:r>
                </w:p>
              </w:tc>
              <w:tc>
                <w:tcPr>
                  <w:tcW w:type="dxa" w:w="23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253"/>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c>
                <w:tcPr>
                  <w:tcW w:type="dxa" w:w="342"/>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工业</w:t>
                  </w: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2.采用800W像素自动对焦摄像头，可拍摄A4画幅，采用USB高速接口，单根USB线实现供电、高清数据传输需求。</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3.展台按键采用电容式触摸按键，可实现一键启动展台画面、画面放大、画面缩小、画面旋转、拍照截图等，同时也支持在一体机或电脑上进行同样的操作。</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4.支持二维码扫码：打开扫一扫功能后，将书本上的二维码放入扫描框内即可自动扫描，并进入系统浏览器获取二维码的链接内容，帮助老师快速获取电子教学资源。</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r>
              <w:tc>
                <w:tcPr>
                  <w:tcW w:type="dxa" w:w="121"/>
                  <w:vMerge/>
                  <w:tcBorders>
                    <w:top w:val="none" w:color="000000" w:sz="4"/>
                    <w:left w:val="single" w:color="000000" w:sz="4"/>
                    <w:bottom w:val="single" w:color="000000" w:sz="4"/>
                    <w:right w:val="single" w:color="000000" w:sz="4"/>
                  </w:tcBorders>
                </w:tcPr>
                <w:p/>
              </w:tc>
              <w:tc>
                <w:tcPr>
                  <w:tcW w:type="dxa" w:w="22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4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5.老师可在一体机或电脑上选择延时拍照功能，支持5秒或10秒延时模式，预留充足时间以便调整拍摄内容。</w:t>
                  </w:r>
                </w:p>
              </w:tc>
              <w:tc>
                <w:tcPr>
                  <w:tcW w:type="dxa" w:w="235"/>
                  <w:vMerge/>
                  <w:tcBorders>
                    <w:top w:val="none" w:color="000000" w:sz="4"/>
                    <w:left w:val="none" w:color="000000" w:sz="4"/>
                    <w:bottom w:val="single" w:color="000000" w:sz="4"/>
                    <w:right w:val="single" w:color="000000" w:sz="4"/>
                  </w:tcBorders>
                </w:tcPr>
                <w:p/>
              </w:tc>
              <w:tc>
                <w:tcPr>
                  <w:tcW w:type="dxa" w:w="253"/>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自合同签订之日起30个日历天完成交货、安装、调试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西安市长安区第一中学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进度款，交货、安装、调试完成并且验收合格后，并开具等额发票，达到付款条件起30日内，达到付款条件起30个工作日内，支付合同总金额的100.0%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验收以本合同及附加文本，谈判文件、成交供应商的响应文件及澄清（承诺函），国家相应的标准、规范为依据。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本项目“质保期”是指合同设备通过“最终验收”后免费保修的期限，自“最终验收”日（以“最终验收”证书上注明验收日期为准）起，期限为一年。凡国家有规定的，优于竞谈文件要求的，按国家规定执行。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报价是供应商应在谈判报价表中标明完成本项目所要求内容且验收合格的所有费用,包括但不限于设备费（含相关配件、附件、安装材料）、产品费、安装调试费、运杂费（含保险）、仓储保管费、技术培训费、检测费、招标代理服务费、税金等其他一切相关费用。任何有选择的报价将不予接受，否则按无效谈判处理。 （2）项目属性：货物。 （3）本项目所属行业为：工业,根据《工业和信息化部 国家统计局国家发展和改革委员会 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（4）核心产品：智能体黑板 （5）按照西安市财政局关于促进政府采购公平竞争优化营商环境的通知&gt;(市财函(2021)431号)规定:供应商登记免费领取谈判文件的，如不参与项目投标，应在递交谈判响应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（7）若为授权代表参加投标，响应文件中需提供被授权代表开标前三个月内任意一个月在本单位的社保缴纳证明。 （8）落实政府采购政策《国务院办公厅关于在政府采购中实施本国产品标准及相关政策的通知国办发〔2025〕34号》，本项目为仅有本国产品参与竞争的政府采购项目，本国产品不享受价格扣除评审优惠。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谈判截止时间前6个月内任意时段的依法缴纳税收的相关凭据（时间以税款所属日期为准），依法免税或无须缴纳税收的供应商应提供相关证明材料；3、提供谈判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谈判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首轮报价表 谈判方案说明书.docx 本国产品说明 谈判分项报价表.docx 中小企业声明函 中国境内生产的组件成本核算基本规则 资格证明文件.docx 响应文件封面 残疾人福利性单位声明函 标的清单 关于符合本国产品标准的声明函 投标（响应）函 商务条款偏离表.docx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详见附件：投标（响应）函</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