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版本号：SZT2026-SN-QC-ZC-FW-045120260611001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西安阎良国家航空高技术产业基地2026-2027年实施详细规划编制及相关规划设计咨询服务项目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SZT2026-SN-QC-ZC-FW-0451</w:t>
      </w:r>
      <w:r>
        <w:br/>
      </w:r>
      <w:r>
        <w:br/>
      </w:r>
      <w:r>
        <w:br/>
      </w:r>
    </w:p>
    <w:p>
      <w:pPr>
        <w:pStyle w:val="null3"/>
        <w:jc w:val="center"/>
        <w:outlineLvl w:val="2"/>
      </w:pPr>
      <w:r>
        <w:rPr>
          <w:rFonts w:ascii="仿宋_GB2312" w:hAnsi="仿宋_GB2312" w:cs="仿宋_GB2312" w:eastAsia="仿宋_GB2312"/>
          <w:sz w:val="28"/>
          <w:b/>
        </w:rPr>
        <w:t>西安阎良国家航空高技术产业基地管理委员会</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西安阎良国家航空高技术产业基地管理委员会</w:t>
      </w:r>
      <w:r>
        <w:rPr>
          <w:rFonts w:ascii="仿宋_GB2312" w:hAnsi="仿宋_GB2312" w:cs="仿宋_GB2312" w:eastAsia="仿宋_GB2312"/>
        </w:rPr>
        <w:t>委托，拟对</w:t>
      </w:r>
      <w:r>
        <w:rPr>
          <w:rFonts w:ascii="仿宋_GB2312" w:hAnsi="仿宋_GB2312" w:cs="仿宋_GB2312" w:eastAsia="仿宋_GB2312"/>
        </w:rPr>
        <w:t>西安阎良国家航空高技术产业基地2026-2027年实施详细规划编制及相关规划设计咨询服务项目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SZT2026-SN-QC-ZC-FW-0451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西安阎良国家航空高技术产业基地2026-2027年实施详细规划编制及相关规划设计咨询服务项目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西安阎良国家航空高技术产业基地2026-2027年实施详细规划编制及相关规划设计咨询服务，详见采购文件。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1、投标人资质要求：投标人须具备城乡规划编制乙级（含乙级）或乙级以上资质;</w:t>
      </w:r>
    </w:p>
    <w:p>
      <w:pPr>
        <w:pStyle w:val="null3"/>
      </w:pPr>
      <w:r>
        <w:rPr>
          <w:rFonts w:ascii="仿宋_GB2312" w:hAnsi="仿宋_GB2312" w:cs="仿宋_GB2312" w:eastAsia="仿宋_GB2312"/>
        </w:rPr>
        <w:t>2、法定代表人授权委托书：投标人应授权合法的人员参加投标全过程，其中法定代表人直接参加投标的，须出具法定代表人身份证复印件，并与营业执照上信息一致。法定代表人授权代表参加投标的，须出具法定代表人授权书及授权代表身份证复印件，同时提供投标人为授权代表缴纳的近三个月内任意一个月社保证明;</w:t>
      </w:r>
    </w:p>
    <w:p>
      <w:pPr>
        <w:pStyle w:val="null3"/>
      </w:pPr>
      <w:r>
        <w:rPr>
          <w:rFonts w:ascii="仿宋_GB2312" w:hAnsi="仿宋_GB2312" w:cs="仿宋_GB2312" w:eastAsia="仿宋_GB2312"/>
        </w:rPr>
        <w:t>3、本项目不接受联合体投标：本项目不接受联合体投标。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西安阎良国家航空高技术产业基地管理委员会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西安市阎良区蓝天路88号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029-86867281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西安市莲湖区高新四路 1 号高科广场 A 座 1001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029-87304326-808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西安阎良国家航空高新技术产业基地管理委员会政府采购管理股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周洋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86851971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采购包1：4,906,100.00元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中标人承担，中标人在领取中标通知书时向采购代理机构支付招标代理服务费。招标代理服务费的收取参照国家计委颁布的《招标代理服务收费管理暂行办法》（计价格〔2002〕1980号）和（发改办价格〔2003〕857号）中服务类收费标准收取。 开户名称：陕西中技招标有限公司 开户行名称：招商银行西安分行营业部 账 号：129916812810001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西安阎良国家航空高技术产业基地管理委员会</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西安阎良国家航空高技术产业基地管理委员会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西安阎良国家航空高技术产业基地管理委员会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联系电话：029-88364979-856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西安阎良国家航空高技术产业基地2026-2027年实施详细规划编制及相关规划设计咨询服务，详见采购文件。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4,906,100.00</w:t>
      </w:r>
    </w:p>
    <w:p>
      <w:pPr>
        <w:pStyle w:val="null3"/>
      </w:pPr>
      <w:r>
        <w:rPr>
          <w:rFonts w:ascii="仿宋_GB2312" w:hAnsi="仿宋_GB2312" w:cs="仿宋_GB2312" w:eastAsia="仿宋_GB2312"/>
        </w:rPr>
        <w:t>采购包最高限价（元）: 4,906,100.00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实施详细规划编制及相关规划设计咨询服务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4,906,100.00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标的名称：实施详细规划编制及相关规划设计咨询服务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一、项目概况</w:t>
            </w:r>
          </w:p>
          <w:p>
            <w:pPr>
              <w:pStyle w:val="null3"/>
              <w:ind w:firstLine="400"/>
            </w:pPr>
            <w:r>
              <w:rPr>
                <w:rFonts w:ascii="仿宋_GB2312" w:hAnsi="仿宋_GB2312" w:cs="仿宋_GB2312" w:eastAsia="仿宋_GB2312"/>
              </w:rPr>
              <w:t>为保障西安航空基地各类项目落位的土地要素，建设项目依法有序开展审批工作，需进行实施详细规划编制及相关规划设计的技术服务工作。</w:t>
            </w:r>
          </w:p>
          <w:p>
            <w:pPr>
              <w:pStyle w:val="null3"/>
            </w:pPr>
            <w:r>
              <w:rPr>
                <w:rFonts w:ascii="仿宋_GB2312" w:hAnsi="仿宋_GB2312" w:cs="仿宋_GB2312" w:eastAsia="仿宋_GB2312"/>
              </w:rPr>
              <w:t>根据《陕西省自然资源厅关于落实</w:t>
            </w:r>
            <w:r>
              <w:rPr>
                <w:rFonts w:ascii="仿宋_GB2312" w:hAnsi="仿宋_GB2312" w:cs="仿宋_GB2312" w:eastAsia="仿宋_GB2312"/>
              </w:rPr>
              <w:t>“双随机、一公开”整改要求规范国土空间详细规划编制审批的通知》（</w:t>
            </w:r>
            <w:r>
              <w:rPr>
                <w:rFonts w:ascii="仿宋_GB2312" w:hAnsi="仿宋_GB2312" w:cs="仿宋_GB2312" w:eastAsia="仿宋_GB2312"/>
              </w:rPr>
              <w:t>2024</w:t>
            </w:r>
            <w:r>
              <w:rPr>
                <w:rFonts w:ascii="仿宋_GB2312" w:hAnsi="仿宋_GB2312" w:cs="仿宋_GB2312" w:eastAsia="仿宋_GB2312"/>
              </w:rPr>
              <w:t>年印发）、《西安市国土空间城镇开发边界内详细规划编制审批管理实施监督暂行规定》（市政办法〔</w:t>
            </w:r>
            <w:r>
              <w:rPr>
                <w:rFonts w:ascii="仿宋_GB2312" w:hAnsi="仿宋_GB2312" w:cs="仿宋_GB2312" w:eastAsia="仿宋_GB2312"/>
              </w:rPr>
              <w:t>2024</w:t>
            </w:r>
            <w:r>
              <w:rPr>
                <w:rFonts w:ascii="仿宋_GB2312" w:hAnsi="仿宋_GB2312" w:cs="仿宋_GB2312" w:eastAsia="仿宋_GB2312"/>
              </w:rPr>
              <w:t>〕</w:t>
            </w:r>
            <w:r>
              <w:rPr>
                <w:rFonts w:ascii="仿宋_GB2312" w:hAnsi="仿宋_GB2312" w:cs="仿宋_GB2312" w:eastAsia="仿宋_GB2312"/>
              </w:rPr>
              <w:t>36</w:t>
            </w:r>
            <w:r>
              <w:rPr>
                <w:rFonts w:ascii="仿宋_GB2312" w:hAnsi="仿宋_GB2312" w:cs="仿宋_GB2312" w:eastAsia="仿宋_GB2312"/>
              </w:rPr>
              <w:t>号）、《西安市加强宗地规划、土地储备、科学评估和组织出让管理办法（试行）的通知》（市政办发〔</w:t>
            </w:r>
            <w:r>
              <w:rPr>
                <w:rFonts w:ascii="仿宋_GB2312" w:hAnsi="仿宋_GB2312" w:cs="仿宋_GB2312" w:eastAsia="仿宋_GB2312"/>
              </w:rPr>
              <w:t>2025</w:t>
            </w:r>
            <w:r>
              <w:rPr>
                <w:rFonts w:ascii="仿宋_GB2312" w:hAnsi="仿宋_GB2312" w:cs="仿宋_GB2312" w:eastAsia="仿宋_GB2312"/>
              </w:rPr>
              <w:t>〕</w:t>
            </w:r>
            <w:r>
              <w:rPr>
                <w:rFonts w:ascii="仿宋_GB2312" w:hAnsi="仿宋_GB2312" w:cs="仿宋_GB2312" w:eastAsia="仿宋_GB2312"/>
              </w:rPr>
              <w:t xml:space="preserve">67 </w:t>
            </w:r>
            <w:r>
              <w:rPr>
                <w:rFonts w:ascii="仿宋_GB2312" w:hAnsi="仿宋_GB2312" w:cs="仿宋_GB2312" w:eastAsia="仿宋_GB2312"/>
              </w:rPr>
              <w:t>号）、《西安市编制国土空间详细规划组织管理实施方案》（市政办发〔</w:t>
            </w:r>
            <w:r>
              <w:rPr>
                <w:rFonts w:ascii="仿宋_GB2312" w:hAnsi="仿宋_GB2312" w:cs="仿宋_GB2312" w:eastAsia="仿宋_GB2312"/>
              </w:rPr>
              <w:t>2025</w:t>
            </w:r>
            <w:r>
              <w:rPr>
                <w:rFonts w:ascii="仿宋_GB2312" w:hAnsi="仿宋_GB2312" w:cs="仿宋_GB2312" w:eastAsia="仿宋_GB2312"/>
              </w:rPr>
              <w:t>〕</w:t>
            </w:r>
            <w:r>
              <w:rPr>
                <w:rFonts w:ascii="仿宋_GB2312" w:hAnsi="仿宋_GB2312" w:cs="仿宋_GB2312" w:eastAsia="仿宋_GB2312"/>
              </w:rPr>
              <w:t>68</w:t>
            </w:r>
            <w:r>
              <w:rPr>
                <w:rFonts w:ascii="仿宋_GB2312" w:hAnsi="仿宋_GB2312" w:cs="仿宋_GB2312" w:eastAsia="仿宋_GB2312"/>
              </w:rPr>
              <w:t>号）、《西安市国土空间详细规划（城镇开发边界内）管理办法的通知》（市政办发〔</w:t>
            </w:r>
            <w:r>
              <w:rPr>
                <w:rFonts w:ascii="仿宋_GB2312" w:hAnsi="仿宋_GB2312" w:cs="仿宋_GB2312" w:eastAsia="仿宋_GB2312"/>
              </w:rPr>
              <w:t>2025</w:t>
            </w:r>
            <w:r>
              <w:rPr>
                <w:rFonts w:ascii="仿宋_GB2312" w:hAnsi="仿宋_GB2312" w:cs="仿宋_GB2312" w:eastAsia="仿宋_GB2312"/>
              </w:rPr>
              <w:t>〕</w:t>
            </w:r>
            <w:r>
              <w:rPr>
                <w:rFonts w:ascii="仿宋_GB2312" w:hAnsi="仿宋_GB2312" w:cs="仿宋_GB2312" w:eastAsia="仿宋_GB2312"/>
              </w:rPr>
              <w:t>86</w:t>
            </w:r>
            <w:r>
              <w:rPr>
                <w:rFonts w:ascii="仿宋_GB2312" w:hAnsi="仿宋_GB2312" w:cs="仿宋_GB2312" w:eastAsia="仿宋_GB2312"/>
              </w:rPr>
              <w:t>号）等相关要求，由市资源规划局统筹，结合实施需求，按照“清单化”统一管理，开展地块实施详细规划编制组织工作，各区政府、开发区管委会及相关实施主体具体负责开展编制工作。</w:t>
            </w:r>
          </w:p>
          <w:p>
            <w:pPr>
              <w:pStyle w:val="null3"/>
            </w:pPr>
            <w:r>
              <w:rPr>
                <w:rFonts w:ascii="仿宋_GB2312" w:hAnsi="仿宋_GB2312" w:cs="仿宋_GB2312" w:eastAsia="仿宋_GB2312"/>
              </w:rPr>
              <w:t>本项目为地块详细规划编制及实施管理服务，旨在系统指导规划用地的精准落地与规范建设。依据相关法规及管控要求，项目应在详细规划编制与组织实施过程中，紧密结合项目实施需求，逐级落实单元层面确定的规划管控指标与空间要求，与上位规划有效衔接。工作内容主要包括：统筹开发策划、土地整备、经济测算及实施运营等关键环节，对用地方案进行细化优化，确保规划成果具备可操作性与精准实施条件，同时通过城市设计方案对空间形态、公共环境及实施可行性进行综合验证。项目成果将作为国有土地使用权出让规划条件设定、建设用地规划许可证与建设工程规划许可证核发、低效用地再开发、土地征收成片开发方案落实及城市更新等各项行政审批与建设活动的基本依据，切实保障项目审批与建设工作的规范、有序推进。同时，对于需要供地的项目用地，需要提供</w:t>
            </w:r>
            <w:r>
              <w:rPr>
                <w:rFonts w:ascii="仿宋_GB2312" w:hAnsi="仿宋_GB2312" w:cs="仿宋_GB2312" w:eastAsia="仿宋_GB2312"/>
              </w:rPr>
              <w:t>“规土评让”技术服务，对国土空间规划实施阶段中有需要优化调整的，需要完成规划用地优化调整研究、单元详细规划优化调整等工作。</w:t>
            </w:r>
          </w:p>
          <w:p>
            <w:pPr>
              <w:pStyle w:val="null3"/>
            </w:pPr>
            <w:r>
              <w:rPr>
                <w:rFonts w:ascii="仿宋_GB2312" w:hAnsi="仿宋_GB2312" w:cs="仿宋_GB2312" w:eastAsia="仿宋_GB2312"/>
                <w:b/>
              </w:rPr>
              <w:t>二、</w:t>
            </w:r>
            <w:r>
              <w:rPr>
                <w:rFonts w:ascii="仿宋_GB2312" w:hAnsi="仿宋_GB2312" w:cs="仿宋_GB2312" w:eastAsia="仿宋_GB2312"/>
                <w:b/>
              </w:rPr>
              <w:t>服务要求</w:t>
            </w:r>
          </w:p>
          <w:p>
            <w:pPr>
              <w:pStyle w:val="null3"/>
              <w:ind w:firstLine="482"/>
            </w:pPr>
            <w:r>
              <w:rPr>
                <w:rFonts w:ascii="仿宋_GB2312" w:hAnsi="仿宋_GB2312" w:cs="仿宋_GB2312" w:eastAsia="仿宋_GB2312"/>
                <w:b/>
              </w:rPr>
              <w:t>1.报价要求</w:t>
            </w:r>
          </w:p>
          <w:p>
            <w:pPr>
              <w:pStyle w:val="null3"/>
              <w:ind w:firstLine="482"/>
            </w:pPr>
            <w:r>
              <w:rPr>
                <w:rFonts w:ascii="仿宋_GB2312" w:hAnsi="仿宋_GB2312" w:cs="仿宋_GB2312" w:eastAsia="仿宋_GB2312"/>
                <w:b/>
              </w:rPr>
              <w:t>（</w:t>
            </w:r>
            <w:r>
              <w:rPr>
                <w:rFonts w:ascii="仿宋_GB2312" w:hAnsi="仿宋_GB2312" w:cs="仿宋_GB2312" w:eastAsia="仿宋_GB2312"/>
                <w:b/>
              </w:rPr>
              <w:t>1）</w:t>
            </w:r>
            <w:r>
              <w:rPr>
                <w:rFonts w:ascii="仿宋_GB2312" w:hAnsi="仿宋_GB2312" w:cs="仿宋_GB2312" w:eastAsia="仿宋_GB2312"/>
                <w:b/>
              </w:rPr>
              <w:t>报价要求：各</w:t>
            </w:r>
            <w:r>
              <w:rPr>
                <w:rFonts w:ascii="仿宋_GB2312" w:hAnsi="仿宋_GB2312" w:cs="仿宋_GB2312" w:eastAsia="仿宋_GB2312"/>
                <w:b/>
              </w:rPr>
              <w:t>供应商</w:t>
            </w:r>
            <w:r>
              <w:rPr>
                <w:rFonts w:ascii="仿宋_GB2312" w:hAnsi="仿宋_GB2312" w:cs="仿宋_GB2312" w:eastAsia="仿宋_GB2312"/>
                <w:b/>
              </w:rPr>
              <w:t>的投标报价单价不得高于</w:t>
            </w:r>
            <w:r>
              <w:rPr>
                <w:rFonts w:ascii="仿宋_GB2312" w:hAnsi="仿宋_GB2312" w:cs="仿宋_GB2312" w:eastAsia="仿宋_GB2312"/>
                <w:b/>
              </w:rPr>
              <w:t>对应</w:t>
            </w:r>
            <w:r>
              <w:rPr>
                <w:rFonts w:ascii="仿宋_GB2312" w:hAnsi="仿宋_GB2312" w:cs="仿宋_GB2312" w:eastAsia="仿宋_GB2312"/>
                <w:b/>
              </w:rPr>
              <w:t>单价限价</w:t>
            </w:r>
            <w:r>
              <w:rPr>
                <w:rFonts w:ascii="仿宋_GB2312" w:hAnsi="仿宋_GB2312" w:cs="仿宋_GB2312" w:eastAsia="仿宋_GB2312"/>
                <w:b/>
              </w:rPr>
              <w:t>，</w:t>
            </w:r>
            <w:r>
              <w:rPr>
                <w:rFonts w:ascii="仿宋_GB2312" w:hAnsi="仿宋_GB2312" w:cs="仿宋_GB2312" w:eastAsia="仿宋_GB2312"/>
                <w:b/>
              </w:rPr>
              <w:t>否则按</w:t>
            </w:r>
            <w:r>
              <w:rPr>
                <w:rFonts w:ascii="仿宋_GB2312" w:hAnsi="仿宋_GB2312" w:cs="仿宋_GB2312" w:eastAsia="仿宋_GB2312"/>
                <w:b/>
              </w:rPr>
              <w:t>无效投标</w:t>
            </w:r>
            <w:r>
              <w:rPr>
                <w:rFonts w:ascii="仿宋_GB2312" w:hAnsi="仿宋_GB2312" w:cs="仿宋_GB2312" w:eastAsia="仿宋_GB2312"/>
                <w:b/>
              </w:rPr>
              <w:t>处理。</w:t>
            </w:r>
          </w:p>
          <w:p>
            <w:pPr>
              <w:pStyle w:val="null3"/>
              <w:ind w:firstLine="482"/>
            </w:pPr>
            <w:r>
              <w:rPr>
                <w:rFonts w:ascii="仿宋_GB2312" w:hAnsi="仿宋_GB2312" w:cs="仿宋_GB2312" w:eastAsia="仿宋_GB2312"/>
                <w:b/>
              </w:rPr>
              <w:t>（</w:t>
            </w:r>
            <w:r>
              <w:rPr>
                <w:rFonts w:ascii="仿宋_GB2312" w:hAnsi="仿宋_GB2312" w:cs="仿宋_GB2312" w:eastAsia="仿宋_GB2312"/>
                <w:b/>
              </w:rPr>
              <w:t>2）</w:t>
            </w:r>
            <w:r>
              <w:rPr>
                <w:rFonts w:ascii="仿宋_GB2312" w:hAnsi="仿宋_GB2312" w:cs="仿宋_GB2312" w:eastAsia="仿宋_GB2312"/>
                <w:b/>
              </w:rPr>
              <w:t>本项目评审价格为</w:t>
            </w:r>
            <w:r>
              <w:rPr>
                <w:rFonts w:ascii="仿宋_GB2312" w:hAnsi="仿宋_GB2312" w:cs="仿宋_GB2312" w:eastAsia="仿宋_GB2312"/>
                <w:b/>
              </w:rPr>
              <w:t>10项工作</w:t>
            </w:r>
            <w:r>
              <w:rPr>
                <w:rFonts w:ascii="仿宋_GB2312" w:hAnsi="仿宋_GB2312" w:cs="仿宋_GB2312" w:eastAsia="仿宋_GB2312"/>
                <w:b/>
              </w:rPr>
              <w:t>单价之和。若供应商出现漏报误报或单价之和与评审价格不一致的情况，以单价修正评审价格。</w:t>
            </w:r>
          </w:p>
          <w:p>
            <w:pPr>
              <w:pStyle w:val="null3"/>
              <w:ind w:firstLine="482"/>
            </w:pPr>
            <w:r>
              <w:rPr>
                <w:rFonts w:ascii="仿宋_GB2312" w:hAnsi="仿宋_GB2312" w:cs="仿宋_GB2312" w:eastAsia="仿宋_GB2312"/>
                <w:b/>
              </w:rPr>
              <w:t>（</w:t>
            </w:r>
            <w:r>
              <w:rPr>
                <w:rFonts w:ascii="仿宋_GB2312" w:hAnsi="仿宋_GB2312" w:cs="仿宋_GB2312" w:eastAsia="仿宋_GB2312"/>
                <w:b/>
              </w:rPr>
              <w:t>3）</w:t>
            </w:r>
            <w:r>
              <w:rPr>
                <w:rFonts w:ascii="仿宋_GB2312" w:hAnsi="仿宋_GB2312" w:cs="仿宋_GB2312" w:eastAsia="仿宋_GB2312"/>
                <w:b/>
              </w:rPr>
              <w:t>本项目为单价合同，项目采取单价据实结算方式，最终结算金额不超过项目预算（</w:t>
            </w:r>
            <w:r>
              <w:rPr>
                <w:rFonts w:ascii="仿宋_GB2312" w:hAnsi="仿宋_GB2312" w:cs="仿宋_GB2312" w:eastAsia="仿宋_GB2312"/>
                <w:b/>
              </w:rPr>
              <w:t>4,906,100.00元）。</w:t>
            </w:r>
          </w:p>
          <w:tbl>
            <w:tblPr>
              <w:tblInd w:type="dxa" w:w="120"/>
              <w:tblBorders>
                <w:top w:val="none" w:color="000000" w:sz="4"/>
                <w:left w:val="none" w:color="000000" w:sz="4"/>
                <w:bottom w:val="none" w:color="000000" w:sz="4"/>
                <w:right w:val="none" w:color="000000" w:sz="4"/>
                <w:insideH w:val="none"/>
                <w:insideV w:val="none"/>
              </w:tblBorders>
            </w:tblPr>
            <w:tblGrid>
              <w:gridCol w:w="586"/>
              <w:gridCol w:w="1394"/>
              <w:gridCol w:w="573"/>
            </w:tblGrid>
            <w:tr>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工作阶段</w:t>
                  </w:r>
                </w:p>
              </w:tc>
              <w:tc>
                <w:tcPr>
                  <w:tcW w:type="dxa" w:w="1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分项内容</w:t>
                  </w:r>
                </w:p>
              </w:tc>
              <w:tc>
                <w:tcPr>
                  <w:tcW w:type="dxa" w:w="5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单价限价</w:t>
                  </w:r>
                </w:p>
              </w:tc>
            </w:tr>
            <w:tr>
              <w:tc>
                <w:tcPr>
                  <w:tcW w:type="dxa" w:w="5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地块实施详细规划</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城镇重点地段</w:t>
                  </w: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2000元/公顷</w:t>
                  </w:r>
                </w:p>
              </w:tc>
            </w:tr>
            <w:tr>
              <w:tc>
                <w:tcPr>
                  <w:tcW w:type="dxa" w:w="586"/>
                  <w:vMerge/>
                  <w:tcBorders>
                    <w:top w:val="none" w:color="000000" w:sz="4"/>
                    <w:left w:val="single" w:color="000000" w:sz="4"/>
                    <w:bottom w:val="single" w:color="000000" w:sz="4"/>
                    <w:right w:val="single" w:color="000000" w:sz="4"/>
                  </w:tcBorders>
                </w:tcP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城镇建成区</w:t>
                  </w: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1800元/公顷</w:t>
                  </w:r>
                </w:p>
              </w:tc>
            </w:tr>
            <w:tr>
              <w:tc>
                <w:tcPr>
                  <w:tcW w:type="dxa" w:w="586"/>
                  <w:vMerge/>
                  <w:tcBorders>
                    <w:top w:val="none" w:color="000000" w:sz="4"/>
                    <w:left w:val="single" w:color="000000" w:sz="4"/>
                    <w:bottom w:val="single" w:color="000000" w:sz="4"/>
                    <w:right w:val="single" w:color="000000" w:sz="4"/>
                  </w:tcBorders>
                </w:tcP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城镇新区</w:t>
                  </w: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1600元/公顷</w:t>
                  </w:r>
                </w:p>
              </w:tc>
            </w:tr>
            <w:tr>
              <w:tc>
                <w:tcPr>
                  <w:tcW w:type="dxa" w:w="586"/>
                  <w:vMerge/>
                  <w:tcBorders>
                    <w:top w:val="none" w:color="000000" w:sz="4"/>
                    <w:left w:val="single" w:color="000000" w:sz="4"/>
                    <w:bottom w:val="single" w:color="000000" w:sz="4"/>
                    <w:right w:val="single" w:color="000000" w:sz="4"/>
                  </w:tcBorders>
                </w:tcP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基价</w:t>
                  </w: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144000元/项</w:t>
                  </w:r>
                </w:p>
              </w:tc>
            </w:tr>
            <w:tr>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“规土评让”技术服务</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“规土评让”技术服务</w:t>
                  </w: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36000元/项</w:t>
                  </w:r>
                </w:p>
              </w:tc>
            </w:tr>
            <w:tr>
              <w:tc>
                <w:tcPr>
                  <w:tcW w:type="dxa" w:w="5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规划用地优化调整研究</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道路实施研究</w:t>
                  </w: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48000元/项</w:t>
                  </w:r>
                </w:p>
              </w:tc>
            </w:tr>
            <w:tr>
              <w:tc>
                <w:tcPr>
                  <w:tcW w:type="dxa" w:w="586"/>
                  <w:vMerge/>
                  <w:tcBorders>
                    <w:top w:val="none" w:color="000000" w:sz="4"/>
                    <w:left w:val="single" w:color="000000" w:sz="4"/>
                    <w:bottom w:val="single" w:color="000000" w:sz="4"/>
                    <w:right w:val="single" w:color="000000" w:sz="4"/>
                  </w:tcBorders>
                </w:tcP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市政基础设施（水、电等）实施研究</w:t>
                  </w: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36000元/项</w:t>
                  </w:r>
                </w:p>
              </w:tc>
            </w:tr>
            <w:tr>
              <w:tc>
                <w:tcPr>
                  <w:tcW w:type="dxa" w:w="586"/>
                  <w:vMerge/>
                  <w:tcBorders>
                    <w:top w:val="none" w:color="000000" w:sz="4"/>
                    <w:left w:val="single" w:color="000000" w:sz="4"/>
                    <w:bottom w:val="single" w:color="000000" w:sz="4"/>
                    <w:right w:val="single" w:color="000000" w:sz="4"/>
                  </w:tcBorders>
                </w:tcP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品质生活等设施优化研究</w:t>
                  </w: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36000元/项</w:t>
                  </w:r>
                </w:p>
              </w:tc>
            </w:tr>
            <w:tr>
              <w:tc>
                <w:tcPr>
                  <w:tcW w:type="dxa" w:w="5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单元详细规划优化调整</w:t>
                  </w: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重点发展单元</w:t>
                  </w: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880元/公顷</w:t>
                  </w:r>
                </w:p>
              </w:tc>
            </w:tr>
            <w:tr>
              <w:tc>
                <w:tcPr>
                  <w:tcW w:type="dxa" w:w="586"/>
                  <w:vMerge/>
                  <w:tcBorders>
                    <w:top w:val="none" w:color="000000" w:sz="4"/>
                    <w:left w:val="single" w:color="000000" w:sz="4"/>
                    <w:bottom w:val="single" w:color="000000" w:sz="4"/>
                    <w:right w:val="single" w:color="000000" w:sz="4"/>
                  </w:tcBorders>
                </w:tcPr>
                <w:p/>
              </w:tc>
              <w:tc>
                <w:tcPr>
                  <w:tcW w:type="dxa" w:w="1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其他单元</w:t>
                  </w: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color w:val="000000"/>
                    </w:rPr>
                    <w:t>792元/公顷</w:t>
                  </w:r>
                </w:p>
              </w:tc>
            </w:tr>
          </w:tbl>
          <w:p>
            <w:pPr>
              <w:pStyle w:val="null3"/>
              <w:ind w:firstLine="482"/>
            </w:pPr>
            <w:r>
              <w:rPr>
                <w:rFonts w:ascii="仿宋_GB2312" w:hAnsi="仿宋_GB2312" w:cs="仿宋_GB2312" w:eastAsia="仿宋_GB2312"/>
              </w:rPr>
              <w:t>说明：</w:t>
            </w:r>
          </w:p>
          <w:p>
            <w:pPr>
              <w:pStyle w:val="null3"/>
              <w:ind w:firstLine="482"/>
            </w:pPr>
            <w:r>
              <w:rPr>
                <w:rFonts w:ascii="仿宋_GB2312" w:hAnsi="仿宋_GB2312" w:cs="仿宋_GB2312" w:eastAsia="仿宋_GB2312"/>
              </w:rPr>
              <w:t>①工作内容根据《陕西省自然资源厅关于落实“双随机、一公开”整改要求规范国土空间详细规划编制审批的通知》（2024年印发）、《西安市国土空间城镇开发边界内详细规划编制审批管理实施监督暂行规定》（市政办法[2024]36号）、《西安市加强宗地规划、土地储备、科学评估和组织出让管理办法（试行）的通知》（市政办发〔2025〕67 号）、《西安市编制国土空间详细规划组织管理实施方案的通知》（市政办发〔2025〕68号）等工作要求确定。</w:t>
            </w:r>
          </w:p>
          <w:p>
            <w:pPr>
              <w:pStyle w:val="null3"/>
              <w:ind w:firstLine="482"/>
            </w:pPr>
            <w:r>
              <w:rPr>
                <w:rFonts w:ascii="仿宋_GB2312" w:hAnsi="仿宋_GB2312" w:cs="仿宋_GB2312" w:eastAsia="仿宋_GB2312"/>
              </w:rPr>
              <w:t>②该服务合同拟为单价合同，按业务完成量据实结算。</w:t>
            </w:r>
          </w:p>
          <w:p>
            <w:pPr>
              <w:pStyle w:val="null3"/>
              <w:ind w:firstLine="482"/>
            </w:pPr>
            <w:r>
              <w:rPr>
                <w:rFonts w:ascii="仿宋_GB2312" w:hAnsi="仿宋_GB2312" w:cs="仿宋_GB2312" w:eastAsia="仿宋_GB2312"/>
              </w:rPr>
              <w:t>③各分项工作费用收费标准依据《城乡规划设计计费指导意见（2004年）》、《城乡规划设计计费指导意见（2017年修订版）》。同一收费项目在2004版计费标准与2017版计费标准中并存时，计费就低执行。</w:t>
            </w:r>
          </w:p>
          <w:p>
            <w:pPr>
              <w:pStyle w:val="null3"/>
              <w:ind w:firstLine="482"/>
            </w:pPr>
            <w:r>
              <w:rPr>
                <w:rFonts w:ascii="仿宋_GB2312" w:hAnsi="仿宋_GB2312" w:cs="仿宋_GB2312" w:eastAsia="仿宋_GB2312"/>
              </w:rPr>
              <w:t>④各分项工作费用市场优惠依据《西安市自然资源和规划局、西安市财政局关于印发西安市加强国土空间详细规划、实施详细规划、宗地规划许可和“规土评让”一体化组织管理及相关规划设计计费指引（试行）的通知》（市资源发[2025]127号）、《西安市自然资源和规划局、西安市财政局关于印发西安市城镇开发边界内五大片区详细规划编制计费指引（试行）的通知》(市资源发[2024]120号)的相关要求。</w:t>
            </w:r>
          </w:p>
          <w:p>
            <w:pPr>
              <w:pStyle w:val="null3"/>
              <w:ind w:firstLine="482"/>
            </w:pPr>
            <w:r>
              <w:rPr>
                <w:rFonts w:ascii="仿宋_GB2312" w:hAnsi="仿宋_GB2312" w:cs="仿宋_GB2312" w:eastAsia="仿宋_GB2312"/>
              </w:rPr>
              <w:t>⑤充分参考西安市各区县收费。</w:t>
            </w:r>
          </w:p>
          <w:p>
            <w:pPr>
              <w:pStyle w:val="null3"/>
              <w:ind w:firstLine="482"/>
            </w:pPr>
            <w:r>
              <w:rPr>
                <w:rFonts w:ascii="仿宋_GB2312" w:hAnsi="仿宋_GB2312" w:cs="仿宋_GB2312" w:eastAsia="仿宋_GB2312"/>
                <w:b/>
              </w:rPr>
              <w:t>2.具体要求</w:t>
            </w:r>
          </w:p>
          <w:p>
            <w:pPr>
              <w:pStyle w:val="null3"/>
              <w:ind w:firstLine="482"/>
            </w:pPr>
            <w:r>
              <w:rPr>
                <w:rFonts w:ascii="仿宋_GB2312" w:hAnsi="仿宋_GB2312" w:cs="仿宋_GB2312" w:eastAsia="仿宋_GB2312"/>
              </w:rPr>
              <w:t>合同签订之日起两年内，结合西安航空基地征储供计划及招商项目落地需求等，编制地块实施详细规划及相关规划设计服务。开展建设用地的现状建设情况摸底调查、对涉及用地及周边区域进行现状分析、根据详细规划深度开展具体工作。完成汇报文件、法定图则、数据库、说明书等成果，同步将成果纳入西安市自然资源和规划局的数据库。</w:t>
            </w:r>
          </w:p>
          <w:p>
            <w:pPr>
              <w:pStyle w:val="null3"/>
              <w:ind w:firstLine="482"/>
            </w:pPr>
            <w:r>
              <w:rPr>
                <w:rFonts w:ascii="仿宋_GB2312" w:hAnsi="仿宋_GB2312" w:cs="仿宋_GB2312" w:eastAsia="仿宋_GB2312"/>
              </w:rPr>
              <w:t>（</w:t>
            </w:r>
            <w:r>
              <w:rPr>
                <w:rFonts w:ascii="仿宋_GB2312" w:hAnsi="仿宋_GB2312" w:cs="仿宋_GB2312" w:eastAsia="仿宋_GB2312"/>
              </w:rPr>
              <w:t>1）地块实施详细规划编制。按照《西安市国土空间城镇开发边界内详细规划编制审批管理实施监督暂行规定》（市政办法[2024]36号）工作要求，依据西安航空基地土地征储供计划及招商项目落地需求等，确定编制地块，在国土空间总体规划指导下，优化和细化规划指标和管控要求，编制地块实施详细规划，具体确定地块的用地性质、容积率、建筑密度、建筑限高、配套公共服务设施等规划指标，并对城市设计提出引导性的条款。</w:t>
            </w:r>
          </w:p>
          <w:p>
            <w:pPr>
              <w:pStyle w:val="null3"/>
              <w:ind w:firstLine="482"/>
            </w:pPr>
            <w:r>
              <w:rPr>
                <w:rFonts w:ascii="仿宋_GB2312" w:hAnsi="仿宋_GB2312" w:cs="仿宋_GB2312" w:eastAsia="仿宋_GB2312"/>
              </w:rPr>
              <w:t>（</w:t>
            </w:r>
            <w:r>
              <w:rPr>
                <w:rFonts w:ascii="仿宋_GB2312" w:hAnsi="仿宋_GB2312" w:cs="仿宋_GB2312" w:eastAsia="仿宋_GB2312"/>
              </w:rPr>
              <w:t>2）“规土评让”技术服务。对于需要供地的项目用地，提供“规土评让”技术服务，主要包括验证性模拟方案、全过程规划优化、“规土评让”ppt及相关图件制作等工作等。</w:t>
            </w:r>
          </w:p>
          <w:p>
            <w:pPr>
              <w:pStyle w:val="null3"/>
              <w:ind w:firstLine="482"/>
            </w:pPr>
            <w:r>
              <w:rPr>
                <w:rFonts w:ascii="仿宋_GB2312" w:hAnsi="仿宋_GB2312" w:cs="仿宋_GB2312" w:eastAsia="仿宋_GB2312"/>
              </w:rPr>
              <w:t>（</w:t>
            </w:r>
            <w:r>
              <w:rPr>
                <w:rFonts w:ascii="仿宋_GB2312" w:hAnsi="仿宋_GB2312" w:cs="仿宋_GB2312" w:eastAsia="仿宋_GB2312"/>
              </w:rPr>
              <w:t>3）规划用地优化调整研究。对涉及《西安市国土空间城镇开发边界内详细规划编制审批管理实施监督暂行规定》（市政办法[2024]36号）中“四类优化调整情形（公共利益类、民生保障类、产业发展类、城市更新类）”的相关研究工作，根据航空基地发展需要开展相关工作，包括优化调整必要性论证、调整方案必选与优化、研究报告编制等内容。</w:t>
            </w:r>
          </w:p>
          <w:p>
            <w:pPr>
              <w:pStyle w:val="null3"/>
              <w:ind w:firstLine="482"/>
            </w:pPr>
            <w:r>
              <w:rPr>
                <w:rFonts w:ascii="仿宋_GB2312" w:hAnsi="仿宋_GB2312" w:cs="仿宋_GB2312" w:eastAsia="仿宋_GB2312"/>
              </w:rPr>
              <w:t>（</w:t>
            </w:r>
            <w:r>
              <w:rPr>
                <w:rFonts w:ascii="仿宋_GB2312" w:hAnsi="仿宋_GB2312" w:cs="仿宋_GB2312" w:eastAsia="仿宋_GB2312"/>
              </w:rPr>
              <w:t>4）单元详细规划优化调整。对于已经市政府审议通过的片区单元详细规划，因国家、省、市重大政策调整、重大项目建设或城市发展需要确需进行优化调整的，需要完成论证研究及编制工作，包括调整前期论证、调整方案编制、成果更新入库等内容。</w:t>
            </w:r>
          </w:p>
          <w:p>
            <w:pPr>
              <w:pStyle w:val="null3"/>
              <w:ind w:firstLine="482"/>
            </w:pPr>
            <w:r>
              <w:rPr>
                <w:rFonts w:ascii="仿宋_GB2312" w:hAnsi="仿宋_GB2312" w:cs="仿宋_GB2312" w:eastAsia="仿宋_GB2312"/>
              </w:rPr>
              <w:t>以上规划编制及规划设计服务均需按照相关法律法规及西安市自然资源和规划局的要求，完成技术审查及行政审议流程等。</w:t>
            </w:r>
          </w:p>
          <w:p>
            <w:pPr>
              <w:pStyle w:val="null3"/>
              <w:ind w:firstLine="482"/>
            </w:pPr>
            <w:r>
              <w:rPr>
                <w:rFonts w:ascii="仿宋_GB2312" w:hAnsi="仿宋_GB2312" w:cs="仿宋_GB2312" w:eastAsia="仿宋_GB2312"/>
                <w:b/>
              </w:rPr>
              <w:t>三、成果交付要求</w:t>
            </w:r>
          </w:p>
          <w:p>
            <w:pPr>
              <w:pStyle w:val="null3"/>
              <w:ind w:firstLine="482"/>
            </w:pPr>
            <w:r>
              <w:rPr>
                <w:rFonts w:ascii="仿宋_GB2312" w:hAnsi="仿宋_GB2312" w:cs="仿宋_GB2312" w:eastAsia="仿宋_GB2312"/>
              </w:rPr>
              <w:t>按照国、省、市的规划编制要求，参照《西安市城镇开发边界内详细规划编制指引》（试行版修编）《西安市城镇开发边界内详细规划成果格式及制图规范》（试行版修编），主要涉及以下内容：</w:t>
            </w:r>
          </w:p>
          <w:p>
            <w:pPr>
              <w:pStyle w:val="null3"/>
              <w:ind w:firstLine="482"/>
            </w:pPr>
            <w:r>
              <w:rPr>
                <w:rFonts w:ascii="仿宋_GB2312" w:hAnsi="仿宋_GB2312" w:cs="仿宋_GB2312" w:eastAsia="仿宋_GB2312"/>
              </w:rPr>
              <w:t>（</w:t>
            </w:r>
            <w:r>
              <w:rPr>
                <w:rFonts w:ascii="仿宋_GB2312" w:hAnsi="仿宋_GB2312" w:cs="仿宋_GB2312" w:eastAsia="仿宋_GB2312"/>
              </w:rPr>
              <w:t>1）汇报材料成果：西安航空基地实施详细规划、“规土评让”技术服务、规划用地优化调整研究、单元详细规划优化调整汇报材料。</w:t>
            </w:r>
          </w:p>
          <w:p>
            <w:pPr>
              <w:pStyle w:val="null3"/>
              <w:ind w:firstLine="482"/>
            </w:pPr>
            <w:r>
              <w:rPr>
                <w:rFonts w:ascii="仿宋_GB2312" w:hAnsi="仿宋_GB2312" w:cs="仿宋_GB2312" w:eastAsia="仿宋_GB2312"/>
              </w:rPr>
              <w:t>（</w:t>
            </w:r>
            <w:r>
              <w:rPr>
                <w:rFonts w:ascii="仿宋_GB2312" w:hAnsi="仿宋_GB2312" w:cs="仿宋_GB2312" w:eastAsia="仿宋_GB2312"/>
              </w:rPr>
              <w:t>2）文字成果：实施详细规划说明书、规划用地优化调整研究和单元详细规划优化调整研究报告。</w:t>
            </w:r>
          </w:p>
          <w:p>
            <w:pPr>
              <w:pStyle w:val="null3"/>
              <w:ind w:firstLine="482"/>
            </w:pPr>
            <w:r>
              <w:rPr>
                <w:rFonts w:ascii="仿宋_GB2312" w:hAnsi="仿宋_GB2312" w:cs="仿宋_GB2312" w:eastAsia="仿宋_GB2312"/>
              </w:rPr>
              <w:t>（</w:t>
            </w:r>
            <w:r>
              <w:rPr>
                <w:rFonts w:ascii="仿宋_GB2312" w:hAnsi="仿宋_GB2312" w:cs="仿宋_GB2312" w:eastAsia="仿宋_GB2312"/>
              </w:rPr>
              <w:t>3）图件成果：详细规划图则，包含建设主要控制指标和配套服务设施指标等，相关技术图纸、验证性模拟方案等。</w:t>
            </w:r>
          </w:p>
          <w:p>
            <w:pPr>
              <w:pStyle w:val="null3"/>
              <w:ind w:firstLine="482"/>
            </w:pPr>
            <w:r>
              <w:rPr>
                <w:rFonts w:ascii="仿宋_GB2312" w:hAnsi="仿宋_GB2312" w:cs="仿宋_GB2312" w:eastAsia="仿宋_GB2312"/>
              </w:rPr>
              <w:t>（</w:t>
            </w:r>
            <w:r>
              <w:rPr>
                <w:rFonts w:ascii="仿宋_GB2312" w:hAnsi="仿宋_GB2312" w:cs="仿宋_GB2312" w:eastAsia="仿宋_GB2312"/>
              </w:rPr>
              <w:t>4）数据库：按照西安市自然资源和规划局的建库要求完成。</w:t>
            </w:r>
          </w:p>
          <w:p>
            <w:pPr>
              <w:pStyle w:val="null3"/>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技术成果：设计图册一式六份及成果电子文件一式一份。</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项目负责人1人，专业技术负责人1人，其他专业人员不少于3人。</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本项目不涉及。</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评审价格为10项工作单价之和，仅作为报价得分评审依据。本项目为单价合同，按业务完成量据实结算。</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自合同签订之日起两年（过程进度要求：按照西安市和西安航空基地土地供应工作进展要求，完成西安航空基地实施详细规划编制及相关规划设计服务）。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西安市阎良行政辖区航空基地范围内。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（1）《中华人民共和国土地管理法》（2019年8月26日第十三届全国人民代表大会常务委员会第十二次会议第三次修正）； （2）《中华人民共和国土地管理法实施条例》（2021 年 7 月 2 日中华人民共和国国务院令第 743 号公布，自 2021 年 9 月 1 日起施行）； （3）《中华人民共和国城乡规划法》》（2019年4月23日第十三届全国人民代表大会常务委员会第十次会议第二次修正）； （4）《中共中央 国务院关于建立国土空间规划体系并监督实施的若干意见》（中发〔2019〕18号）； （5）《自然资源部关于进一步加强国土空间规划编制和实施管理的通知》（自然资发〔2022〕186号）； （6）《自然资源部关于加强国土空间详细规划工作的通知》（自然资发〔2023〕43号）； （7）《自然资源部关于加强和规范规划实施监督管理工作的通知》（自然资发〔2023〕198 号）； （8）《国务院关于〈陕西省国土空间规划 (2021—2035 年)〉的批复》（国函〔2024〕18 号）； （9）《国务院关于〈西安市国土空间总体规划 (2021—2035 年)〉的批复》（国函〔2025〕13 号）； （10）《陕西省自然资源厅关于落实“双随机、一公开”整改要求规范国土空间详细规划编制审批的通知》（2024年印发）； （11）《陕西省自然资源厅关于进一步强化规划许可规范规划实施监督管理的意见 (试行)》（陕自然资发〔2024〕12 号） （12）《西安市国土空间城镇开发边界内详细规划编制审批管理实施监督暂行规定》（市政办法[2024]36号）（市政办发〔2024〕36 号）； （13）《西安市加强宗地规划、土地储备、科学评估和组织出让管理办法（试行）的通知》（市政办发〔2025〕67 号）； （14）《西安市编制国土空间详细规划组织管理实施方案》（市政办发〔2025〕68号）； （15）《关于印发西安市国土空间详细规划（城镇开发边界内）管理办法的通知》（市政办发〔2025〕86号）</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6个月后按照实际完成项目情况据实结算，实际结算金额=项目单价*项目完成数量。乙方应向甲方提供项目费用等额的发票并提交最终成果后，由甲方负责结算，达到付款条件起20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12个月后按照实际完成项目情况据实结算，实际结算金额=项目单价*项目完成数量。乙方应向甲方提供项目费用等额的发票并提交最终成果后，由甲方负责结算，达到付款条件起20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18个月后按照实际完成项目情况据实结算，实际结算金额=项目单价*项目完成数量。乙方应向甲方提供项目费用等额的发票并提交最终成果后，由甲方负责结算，达到付款条件起20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服务期结束后按照实际完成项目情况据实结算，实际结算金额=项目单价*项目完成数量。乙方应向甲方提供项目费用等额的发票并提交最终成果后，由甲方负责结算，达到付款条件起20个工作日内，支付合同总金额的25.0%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应按本合同约定的支付条件向乙方支付合同款项，因自身原因，超过规定支付时间15个工作日后，每逾期支付一天，应向乙方偿付当期应支付费用的2‰作为逾期违约金，累计不超过当期项目费用的10%，逾期超过六个月，乙方有权选择解除本合同并要求甲方支付乙方已完成工作的全部费用。 （2）甲方变更委托项目、规模、条件，或因提交的资料错误，或所提资料作重大修改，或因相关主管部门要求而作重大修改，以致造成乙方需返工时，除非甲、乙双方需另行协商签订补充合同（或另订合同）或重新明确有关条款外，甲方应按乙方所耗工作量向乙方支付返工费，返工费具体金额经双方另行协商确认并在乙方返工工作开始前完成支付。 （3）因乙方责任造成工作重大返工或重作的，乙方不得另行收费。 （4）乙方由于自身过错，延误按本合同规定的规划设计成果交付时间，每延误一天，应减收当期应收费用的2‰作为延误违约金，延误违约金上限为当期应收费用的10%。 （5）合同生效后，非因甲方原因且无任何其他合理理由乙方要求终止或解除合同的，乙方应退回所有已收款项。 （6）在合同履行期间，因非乙方过错（包括但不限于项目开发主体变更、甲方需求超出行业标准等因素）导致合同无法继续履行，乙方有权选择解除本合同并要求甲方支付乙方已进行的该阶段工作的全部费用，同时乙方将不对终止时的阶段性设计文件的准确性及可行性负责。</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因电子化交易系统限制，本项目最终支付约定以此为准：合同签订后每半年按照实际完成项目情况据实结算。实际结算金额=项目单价*项目完成数量。乙方应向甲方提供项目费用等额的发票并提交最终成果后，由甲方负责结算。 2、供应商需要在线提交所有通过电子化交易平台实施的政府采购项目的投标文件，供应商务必在投标文件提交截止时间30分钟前，通过项目电子化交易系统进行签到，如未进行签到，产生的一起后果由供应商自行承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 《投标函》完成承诺并进行电子签章。 1、具有独立承担民事责任的能力（企业法人应提供统 一社会信用代码的营业执照；事业法人应提供 事业单位法人证、组织机构代码证等证明文件 ；其他组织应提供合法证明文件；自然人提供身份证明文件）； 2、具有良好的商业信誉和健 全的财务会计制度，提供2024年度或2025年度经审计完整的财务审计报告（成立时间至提交投标文件截止时间不足一年的可提供成立后任意时段的资产负债表），或其开标前12个月内银行出具的资信证明，或财政部门认可的政府采购专业担保机构出具的投标担保函；3、具有履行合同所必需的设备和专业技术能力的书面声明（格式 详见附件）；4、有依法缴纳税收和社会保障资金的良好记录（提供开标前12个月内任一月份的社保和缴纳税收的证明，依法不需要缴纳社 会保障资金、免税或无须缴纳税款的供应商，应提供相关证明文件)；5、参加政府采购活动 前 3 年内在经营活动中没有重大违法记录的书面声明（格式详见附件）。</w:t>
            </w:r>
          </w:p>
        </w:tc>
        <w:tc>
          <w:tcPr>
            <w:tcW w:type="dxa" w:w="1661"/>
          </w:tcPr>
          <w:p>
            <w:pPr>
              <w:pStyle w:val="null3"/>
            </w:pPr>
            <w:r>
              <w:rPr>
                <w:rFonts w:ascii="仿宋_GB2312" w:hAnsi="仿宋_GB2312" w:cs="仿宋_GB2312" w:eastAsia="仿宋_GB2312"/>
              </w:rPr>
              <w:t>投标函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具有良好的商业信誉和健全的财务会计制度，提供2024年度或2025年度经审计完整的财务审计报告（成立时间至提交投标文件截止时间不足一年的可提供成立后任 意时段的资产负债表），或其开标前12个月内银行出具的资信证明，或财政部门认可的政府采购专业担保机构出具的投标担保函。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投标人存在单位负责人为同一人或者存在直接控股、管理关系的，则投标无效。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资格证明文件.pdf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投标人资质要求</w:t>
            </w:r>
          </w:p>
        </w:tc>
        <w:tc>
          <w:tcPr>
            <w:tcW w:type="dxa" w:w="3322"/>
          </w:tcPr>
          <w:p>
            <w:pPr>
              <w:pStyle w:val="null3"/>
            </w:pPr>
            <w:r>
              <w:rPr>
                <w:rFonts w:ascii="仿宋_GB2312" w:hAnsi="仿宋_GB2312" w:cs="仿宋_GB2312" w:eastAsia="仿宋_GB2312"/>
              </w:rPr>
              <w:t>投标人须具备城乡规划编制乙级（含乙级）或乙级以上资质;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投标人应授权合法的人员参加投标全过程，其中法定代表人直接参加投标的，须出具法定代表人身份证复印件，并与营业执照上信息一致。法定代表人授权代表参加投标的，须出具法定代表人授权书及授权代表身份证复印件，同时提供投标人为授权代表缴纳的近三个月内任意一个月社保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服务内容及服务要求应答表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w:t>
            </w:r>
          </w:p>
        </w:tc>
        <w:tc>
          <w:tcPr>
            <w:tcW w:type="dxa" w:w="3322"/>
          </w:tcPr>
          <w:p>
            <w:pPr>
              <w:pStyle w:val="null3"/>
            </w:pPr>
            <w:r>
              <w:rPr>
                <w:rFonts w:ascii="仿宋_GB2312" w:hAnsi="仿宋_GB2312" w:cs="仿宋_GB2312" w:eastAsia="仿宋_GB2312"/>
              </w:rPr>
              <w:t>投标文件按照规定格式签字、盖章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投标有效期达到招标文件的要求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符合招标文件规定的其他实质性要求</w:t>
            </w:r>
          </w:p>
        </w:tc>
        <w:tc>
          <w:tcPr>
            <w:tcW w:type="dxa" w:w="3322"/>
          </w:tcPr>
          <w:p>
            <w:pPr>
              <w:pStyle w:val="null3"/>
            </w:pPr>
            <w:r>
              <w:rPr>
                <w:rFonts w:ascii="仿宋_GB2312" w:hAnsi="仿宋_GB2312" w:cs="仿宋_GB2312" w:eastAsia="仿宋_GB2312"/>
              </w:rPr>
              <w:t>符合招标文件规定的其他实质性要求</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项目背景及编制基础</w:t>
            </w:r>
          </w:p>
        </w:tc>
        <w:tc>
          <w:tcPr>
            <w:tcW w:type="dxa" w:w="2492"/>
          </w:tcPr>
          <w:p>
            <w:pPr>
              <w:pStyle w:val="null3"/>
            </w:pPr>
            <w:r>
              <w:rPr>
                <w:rFonts w:ascii="仿宋_GB2312" w:hAnsi="仿宋_GB2312" w:cs="仿宋_GB2312" w:eastAsia="仿宋_GB2312"/>
              </w:rPr>
              <w:t>项目背景及编制基础。（①区域基本概况，现状解读与分析；②项目工作内容理解与分析；③项目前期勘察工作方案），内容叙述详尽全面，具体描述细致合理得当、完全贴合采购要求得8分；叙述整体比较全面，具体描述整体比较合理得6分；叙述重点工作内容基本全面，其他部分内容有缺失，具体描述基本能完成服务得3分；叙述有缺陷，具体描述有严重缺陷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项目相关文件、规划解读</w:t>
            </w:r>
          </w:p>
        </w:tc>
        <w:tc>
          <w:tcPr>
            <w:tcW w:type="dxa" w:w="2492"/>
          </w:tcPr>
          <w:p>
            <w:pPr>
              <w:pStyle w:val="null3"/>
            </w:pPr>
            <w:r>
              <w:rPr>
                <w:rFonts w:ascii="仿宋_GB2312" w:hAnsi="仿宋_GB2312" w:cs="仿宋_GB2312" w:eastAsia="仿宋_GB2312"/>
              </w:rPr>
              <w:t>项目相关文件、规划解读。（①最新政策、法律法规、技术标准文件解读；②土地用途与指标控制要求；③上位规划内容准确传导） 政策及标准解读详尽全面，具体描述细致内容精准、完全贴合采购要求得8分；政策及标准解读比较全面，具体描述整体准确但条理不够明确得6分；叙述重点工作内容基本全面，其他部分内容有缺失，重点内容描述准确得3分；叙述有缺陷，具体描述有错误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项目编制思路与规划方案内容</w:t>
            </w:r>
          </w:p>
        </w:tc>
        <w:tc>
          <w:tcPr>
            <w:tcW w:type="dxa" w:w="2492"/>
          </w:tcPr>
          <w:p>
            <w:pPr>
              <w:pStyle w:val="null3"/>
            </w:pPr>
            <w:r>
              <w:rPr>
                <w:rFonts w:ascii="仿宋_GB2312" w:hAnsi="仿宋_GB2312" w:cs="仿宋_GB2312" w:eastAsia="仿宋_GB2312"/>
              </w:rPr>
              <w:t>项目编制思路与规划方案内容。 项目编制技术思路清晰、技术方法科学合理，项目系统性及工作重点把握准确，技术成果全面、完整，得8分；项目编制技术思路较为清晰、技术方法较为科学合理，项目系统性及工作重点把握较准确，技术成果较全面、完整，得6分；项目编制技术思路重点工作内容基本全面，其他部分内容有缺失，项目系统性及工作重点把握不够准确，但核心内容基本符合服务要求，得3分；内容有严重缺陷，具体描述和技术成果有严重缺陷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对本项目近期需解决的重点、难点问题的认识与分析。 内容叙述详尽全面，具体描述细致合理得当、完全贴合采购要求得8分；叙述整体比较全面，具体描述整体比较合理得6分；叙述重点工作内容基本全面，其他部分内容有缺失，具体描述基本能完成服务得3分；叙述有缺陷，具体描述有严重缺陷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项目成果内容及标准</w:t>
            </w:r>
          </w:p>
        </w:tc>
        <w:tc>
          <w:tcPr>
            <w:tcW w:type="dxa" w:w="2492"/>
          </w:tcPr>
          <w:p>
            <w:pPr>
              <w:pStyle w:val="null3"/>
            </w:pPr>
            <w:r>
              <w:rPr>
                <w:rFonts w:ascii="仿宋_GB2312" w:hAnsi="仿宋_GB2312" w:cs="仿宋_GB2312" w:eastAsia="仿宋_GB2312"/>
              </w:rPr>
              <w:t>项目成果内容及标准 成果内容完整，成果质量高，制图规范、数据库搭建要素清晰，得8分；成果内容较完整，成果质量符合要求，制图规范、数据库搭建要素不够清晰，得6分；成果内容重点工作内容完整，其他内容有部分缺失，成果质量符合要求但表述不明确，制图、数据库搭建要素不够清晰，得3分；叙述有缺陷，具体描述有严重缺陷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项目负责人能力</w:t>
            </w:r>
          </w:p>
        </w:tc>
        <w:tc>
          <w:tcPr>
            <w:tcW w:type="dxa" w:w="2492"/>
          </w:tcPr>
          <w:p>
            <w:pPr>
              <w:pStyle w:val="null3"/>
            </w:pPr>
            <w:r>
              <w:rPr>
                <w:rFonts w:ascii="仿宋_GB2312" w:hAnsi="仿宋_GB2312" w:cs="仿宋_GB2312" w:eastAsia="仿宋_GB2312"/>
              </w:rPr>
              <w:t>项目负责人能力 （1）项目负责人具有相关专业正高级专业技术职称（提供证书复印件加盖供应商公章），提供得2分，未按要求提供不得分； （2）项目负责人具有国家注册规划师资格（提供证书复印件加盖供应商公章），提供得2分，未按要求提供不得分； （3）项目负责人有同类型项目业绩经验（提供项目负责人业绩材料，需能体现项目负责人姓名），每提供一份业绩得1分，满分2分；未提供的不得分。 注：需提供供应商为项目负责人在本单位缴纳社保证明，否则以上项目负责人三项评审因素均不得分。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项目团队人员配置</w:t>
            </w:r>
          </w:p>
        </w:tc>
        <w:tc>
          <w:tcPr>
            <w:tcW w:type="dxa" w:w="2492"/>
          </w:tcPr>
          <w:p>
            <w:pPr>
              <w:pStyle w:val="null3"/>
            </w:pPr>
            <w:r>
              <w:rPr>
                <w:rFonts w:ascii="仿宋_GB2312" w:hAnsi="仿宋_GB2312" w:cs="仿宋_GB2312" w:eastAsia="仿宋_GB2312"/>
              </w:rPr>
              <w:t>项目团队人员配置 （1）项目团队人员每提供一名同时具备高级工程师和注册规划师的人员得1分，满分4分，未提供不得分。 （2）提供项目团队配置与服务方案，团队专业配置与技术能力、分工与岗位职责、团队服务响应与保障措施、稳定性与履约保障。人员配备全面，经验丰富，证书齐全，具体岗位职责合理得当得4分；人员比较全面，经验较为丰富，证书基本齐全，具体岗位职责比较合理得2分；人员欠缺，经验不足，证书欠缺，具体岗位职责有欠妥当得1分。 注：需提供供应商为项目团队人员在本单位缴纳社保证明，否则以上评审因素均不得分。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1.确保服务进度的保障措施。保障措施全面、合理、科学的得3分；保障措施基本满足采购需求得2分；保障措施不合理、可行性欠缺得1分； 2.确保服务质量的保障措施。保障措施全面、合理、科学的得3分；保障措施基本满足采购需求得2分；保障措施不合理、可行性欠缺得1分； 3.突发事件的应急措施方案。保障措施全面、合理、科学的得3分；保障措施基本满足采购需求得2分；保障措施不合理、可行性欠缺得1分。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安全保密</w:t>
            </w:r>
          </w:p>
        </w:tc>
        <w:tc>
          <w:tcPr>
            <w:tcW w:type="dxa" w:w="2492"/>
          </w:tcPr>
          <w:p>
            <w:pPr>
              <w:pStyle w:val="null3"/>
            </w:pPr>
            <w:r>
              <w:rPr>
                <w:rFonts w:ascii="仿宋_GB2312" w:hAnsi="仿宋_GB2312" w:cs="仿宋_GB2312" w:eastAsia="仿宋_GB2312"/>
              </w:rPr>
              <w:t>1、根据提供的合理、可行的保密措施及保密制度。保密措施及保密制度全面具体、切实可行、针对性强得4分；保密措施及保密制度较细致、基本符合本次项目服务得2分；保密措施及保密制度不完整、模糊、目标不明确得1分； 2、根据提供的安全保密承诺。承诺内容详尽全面，具体内容合理得当得4分；承诺比较全面，具体内容比较合理得2分；承诺不充分，具体内容有欠妥当得1分。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服务承诺 1.供应商针对本项目具有完整、可行的后期服务承诺，承诺内容包括但不限于服务人员安排、服务响应速度。售后服务方案详实、人员配置全面、切实可行、科学合理，针对性强得5分；售后服务方案较细致、人员配置基本满足服务要求得3分；售后服务方案模糊、人员不足、目标不明确得1分； 2.对采购人提出的修改意见及时有效地执行且不额外收费的承诺。承诺内容详尽全面，具体内容合理得当得4分；承诺比较全面，具体内容比较合理得2分；承诺不充分，具体内容有欠妥当得1分。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供应商项目业绩 须提供自2023年1月1日至今类似项目业绩，以供应商提供的合同或中标（成交）通知书复印件（或扫描件）为准（日期以合同签订时间或中标（成交）通知书时间为准），每提供一份得2分，满分10分；未提供的不得分。 注：1.业绩须是供应商作为主体编制单位编制的项目，否则不计入业绩。2.企业业绩可与项目负责人业绩重复计分。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 标价格最低的投标报价为评标基准价，其价格分为满分。其他投标人的价格分统一按照下列公式计算：价格分=(评标基准价／投标报价)×报价分值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分项报价表.pdf</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详见附件：资格证明文件.pdf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详见附件：规划设计合同.docx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