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版本号：ZB2026-ZB032（CGA）20260904001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临潼区油槐街道南杨村粮食仓储晾晒项目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ZB2026-ZB032（CGA）</w:t>
      </w:r>
      <w:r>
        <w:br/>
      </w:r>
      <w:r>
        <w:br/>
      </w:r>
      <w:r>
        <w:br/>
      </w:r>
    </w:p>
    <w:p>
      <w:pPr>
        <w:pStyle w:val="null3"/>
        <w:jc w:val="center"/>
        <w:outlineLvl w:val="2"/>
      </w:pPr>
      <w:r>
        <w:rPr>
          <w:rFonts w:ascii="仿宋_GB2312" w:hAnsi="仿宋_GB2312" w:cs="仿宋_GB2312" w:eastAsia="仿宋_GB2312"/>
          <w:sz w:val="28"/>
          <w:b/>
        </w:rPr>
        <w:t>西安市临潼区油槐街道办事处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西安市临潼区油槐街道办事处</w:t>
      </w:r>
      <w:r>
        <w:rPr>
          <w:rFonts w:ascii="仿宋_GB2312" w:hAnsi="仿宋_GB2312" w:cs="仿宋_GB2312" w:eastAsia="仿宋_GB2312"/>
        </w:rPr>
        <w:t>委托，拟对</w:t>
      </w:r>
      <w:r>
        <w:rPr>
          <w:rFonts w:ascii="仿宋_GB2312" w:hAnsi="仿宋_GB2312" w:cs="仿宋_GB2312" w:eastAsia="仿宋_GB2312"/>
        </w:rPr>
        <w:t>临潼区油槐街道南杨村粮食仓储晾晒项目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ZB2026-ZB032（CGA）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临潼区油槐街道南杨村粮食仓储晾晒项目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油槐街道南杨村粮食仓储晾晒项目。本项目位于临潼区油槐街道南杨村。工程内容主要包括：新建面积1313.3平方米的粮食晾晒厂房一座及水电配套工程，新作围墙38.96米，室外地面硬化47平方米，安装100吨地磅一个等。具体工程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采购包1（临潼区油槐街道南杨村粮食仓储晾晒项目）：属于专门面向中小企业采购。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1、资质要求：供应商须具备建筑工程施工总承包二级及以上资质，具有有效的安全生产许可证</w:t>
      </w:r>
    </w:p>
    <w:p>
      <w:pPr>
        <w:pStyle w:val="null3"/>
      </w:pPr>
      <w:r>
        <w:rPr>
          <w:rFonts w:ascii="仿宋_GB2312" w:hAnsi="仿宋_GB2312" w:cs="仿宋_GB2312" w:eastAsia="仿宋_GB2312"/>
        </w:rPr>
        <w:t>2、项目经理要求：拟派项目经理须具备建筑工程二级及以上注册建造师执业资格，具有安全生产考核合格证，且在本单位注册，无在建工程</w:t>
      </w:r>
    </w:p>
    <w:p>
      <w:pPr>
        <w:pStyle w:val="null3"/>
      </w:pPr>
      <w:r>
        <w:rPr>
          <w:rFonts w:ascii="仿宋_GB2312" w:hAnsi="仿宋_GB2312" w:cs="仿宋_GB2312" w:eastAsia="仿宋_GB2312"/>
        </w:rPr>
        <w:t>3、法定代表人身份证明书或法人授权委托书：法定代表人身份证明或法定代表人授权委托书，后附法定代表人及被委托人身份证（法定代表人直接参加磋商的只须提供法定代表人身份证）</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西安市临潼区油槐街道办事处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临潼区油槐街道甲字9号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曹宏科长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13689291333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魏东红、王波、马瑾瑜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代理服务费收费标准：中标供应商领取中标通知书时，代理服务费依据《国家发展改革委关于进一步放开建设项目专业服务价格的通知》（发改价格〔2015〕299 号）、《政府采购代理机构管理暂行办法》（财库〔2018〕2 号）的要求，参照原计价格〔2002〕1980号文件差额定率累进计算方式，以中标（成交）价为基数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西安市临潼区油槐街道办事处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西安市临潼区油槐街道办事处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西安市临潼区油槐街道办事处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联系人：魏东红、王波、马瑾瑜</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临潼区油槐街道南杨村粮食仓储晾晒项目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标的名称：临潼区油槐街道南杨村粮食仓储晾晒项目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工程内容：</w:t>
            </w:r>
            <w:r>
              <w:rPr>
                <w:rFonts w:ascii="仿宋_GB2312" w:hAnsi="仿宋_GB2312" w:cs="仿宋_GB2312" w:eastAsia="仿宋_GB2312"/>
                <w:color w:val="000000"/>
              </w:rPr>
              <w:t>新建面积1313.3平方米的粮食晾晒厂房一座及水电配套工程，新作围墙38.96米，室外地面硬化47平方米，安装100吨地磅一个等。具体工程内容详见工程量清单及图纸。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00"/>
              </w:rPr>
              <w:t>工程地点：</w:t>
            </w:r>
            <w:r>
              <w:rPr>
                <w:rFonts w:ascii="仿宋_GB2312" w:hAnsi="仿宋_GB2312" w:cs="仿宋_GB2312" w:eastAsia="仿宋_GB2312"/>
                <w:color w:val="000000"/>
              </w:rPr>
              <w:t>临潼区油槐街道南杨村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计划工期：</w:t>
            </w:r>
            <w:r>
              <w:rPr>
                <w:rFonts w:ascii="仿宋_GB2312" w:hAnsi="仿宋_GB2312" w:cs="仿宋_GB2312" w:eastAsia="仿宋_GB2312"/>
                <w:color w:val="000000"/>
              </w:rPr>
              <w:t>60</w:t>
            </w:r>
            <w:r>
              <w:rPr>
                <w:rFonts w:ascii="仿宋_GB2312" w:hAnsi="仿宋_GB2312" w:cs="仿宋_GB2312" w:eastAsia="仿宋_GB2312"/>
                <w:color w:val="000000"/>
              </w:rPr>
              <w:t>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00"/>
              </w:rPr>
              <w:t>质量要求：</w:t>
            </w:r>
            <w:r>
              <w:rPr>
                <w:rFonts w:ascii="仿宋_GB2312" w:hAnsi="仿宋_GB2312" w:cs="仿宋_GB2312" w:eastAsia="仿宋_GB2312"/>
                <w:color w:val="000000"/>
              </w:rPr>
              <w:t>符合国家现行有关施工质量验收规范“合格”要求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00"/>
              </w:rPr>
              <w:t>付款要求：</w:t>
            </w:r>
          </w:p>
          <w:p>
            <w:pPr>
              <w:pStyle w:val="null3"/>
            </w:pPr>
            <w:r>
              <w:rPr>
                <w:rFonts w:ascii="仿宋_GB2312" w:hAnsi="仿宋_GB2312" w:cs="仿宋_GB2312" w:eastAsia="仿宋_GB2312"/>
                <w:color w:val="000000"/>
              </w:rPr>
              <w:t>（1）预付款，合同签订后，达到付款条件起15个工作日内，支付合同总金额的30.0%；</w:t>
            </w:r>
          </w:p>
          <w:p>
            <w:pPr>
              <w:pStyle w:val="null3"/>
            </w:pPr>
            <w:r>
              <w:rPr>
                <w:rFonts w:ascii="仿宋_GB2312" w:hAnsi="仿宋_GB2312" w:cs="仿宋_GB2312" w:eastAsia="仿宋_GB2312"/>
                <w:color w:val="000000"/>
              </w:rPr>
              <w:t>（2）其他，项目竣工验收合格且保洁、清场并完成工程结算审核后，达到付款条件起60个工作日内，支付合同总金额的67.0%；</w:t>
            </w:r>
          </w:p>
          <w:p>
            <w:pPr>
              <w:pStyle w:val="null3"/>
            </w:pPr>
            <w:r>
              <w:rPr>
                <w:rFonts w:ascii="仿宋_GB2312" w:hAnsi="仿宋_GB2312" w:cs="仿宋_GB2312" w:eastAsia="仿宋_GB2312"/>
                <w:color w:val="000000"/>
              </w:rPr>
              <w:t>（3）其他，质保期满无质量问题，达到付款条件起15个工作日内，支付合同总金额的3.0%。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color w:val="000000"/>
              </w:rPr>
              <w:t>计价依据：</w:t>
            </w:r>
          </w:p>
          <w:p>
            <w:pPr>
              <w:pStyle w:val="null3"/>
            </w:pPr>
            <w:r>
              <w:rPr>
                <w:rFonts w:ascii="仿宋_GB2312" w:hAnsi="仿宋_GB2312" w:cs="仿宋_GB2312" w:eastAsia="仿宋_GB2312"/>
                <w:color w:val="000000"/>
              </w:rPr>
              <w:t>（1）《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台班费用定额(2025)》、《陕西省建设工程施工仪器仪表台班费用定额(2025)》等计价文件配套使用；</w:t>
            </w:r>
          </w:p>
          <w:p>
            <w:pPr>
              <w:pStyle w:val="null3"/>
            </w:pPr>
            <w:r>
              <w:rPr>
                <w:rFonts w:ascii="仿宋_GB2312" w:hAnsi="仿宋_GB2312" w:cs="仿宋_GB2312" w:eastAsia="仿宋_GB2312"/>
                <w:color w:val="000000"/>
              </w:rPr>
              <w:t>（2）陕建管发〔2025〕10号《关于印发2025陕西省建设工程费用规则等计价依据的通知》；</w:t>
            </w:r>
          </w:p>
          <w:p>
            <w:pPr>
              <w:pStyle w:val="null3"/>
            </w:pPr>
            <w:r>
              <w:rPr>
                <w:rFonts w:ascii="仿宋_GB2312" w:hAnsi="仿宋_GB2312" w:cs="仿宋_GB2312" w:eastAsia="仿宋_GB2312"/>
                <w:color w:val="000000"/>
              </w:rPr>
              <w:t>（3）在本工程实施期间，政府及相关部门颁布新的规范、规则、定额、调价文件等，按照新规范、规则、定额、调价文件执行；</w:t>
            </w:r>
          </w:p>
          <w:p>
            <w:pPr>
              <w:pStyle w:val="null3"/>
            </w:pPr>
            <w:r>
              <w:rPr>
                <w:rFonts w:ascii="仿宋_GB2312" w:hAnsi="仿宋_GB2312" w:cs="仿宋_GB2312" w:eastAsia="仿宋_GB2312"/>
                <w:color w:val="000000"/>
              </w:rPr>
              <w:t>（4）与本工程有关的标准文件（包括标准图集）、规范、技术资料等；</w:t>
            </w:r>
          </w:p>
          <w:p>
            <w:pPr>
              <w:pStyle w:val="null3"/>
            </w:pPr>
            <w:r>
              <w:rPr>
                <w:rFonts w:ascii="仿宋_GB2312" w:hAnsi="仿宋_GB2312" w:cs="仿宋_GB2312" w:eastAsia="仿宋_GB2312"/>
                <w:color w:val="000000"/>
              </w:rPr>
              <w:t>（5）施工现场情况、工程特点及常规施工方案；</w:t>
            </w:r>
          </w:p>
          <w:p>
            <w:pPr>
              <w:pStyle w:val="null3"/>
            </w:pPr>
            <w:r>
              <w:rPr>
                <w:rFonts w:ascii="仿宋_GB2312" w:hAnsi="仿宋_GB2312" w:cs="仿宋_GB2312" w:eastAsia="仿宋_GB2312"/>
                <w:color w:val="000000"/>
              </w:rPr>
              <w:t>（6）本工程采用广联达云计价软件GCCP 7.0（版本号：7.5000.23.3）编制。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1.本项目采购标的所属行业为：建筑业。按照《中小企业划型标准》（工信部 国家统计局 发改委 财政部 工信部联企业〔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3.供应商需要在线提交所有通过电子化交易平台实施的政府采购项目的响应文件，同时，线下递交纸质响应文件，正本壹份、副本壹份，电子文件壹份（U盘存储，内容包括与系统上传后导出完全一致的PDF版响应文件和工程量清单报价的广联达电子版）。所有纸质文件封面须加盖供应商公章鲜章，U盘标明供应商名称后随正本密封。若线上电子响应文件与纸质响应文件不一致以电子响应文件为准;若正本和副本不一致，以正本为准。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备独立承担民事责任的能力。企业法人提供含统一社会信用代码的营业执照；事业法人提供事业单位法人证书及组织机构代码证；其他组织提供合法有效的证明文件；自然人提供其身份证明；（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存款账户银行出具的资信证明及基本存款账户信息；④可提供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法定代表人身份证明或法定代表人授权委托书，后附法定代表人及被委托人身份证（法定代表人直接参加磋商的只须提供法定代表人身份证）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二、赋分标准（9分）：每满足一项评审内容得3分，针对每项评审内容每存在一处缺陷的扣0.5分，扣完为止；未提供的得0分； 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一、评审内容：供应商针对本项目编制项目经理部组成，内容包含：①人员组织架构及管理人员配备；②人员管理制度。 二、赋分标准（4分）：每满足一项评审内容得2分，针对每项评审内容每存在一处缺陷的扣0.5分，扣完为止；未提供的得0分； 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二、赋分标准（6分）：每满足一项评审内容得2分，针对每项评审内容每存在一处缺陷的扣0.5分，扣完为止；未提供的得0分； 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供应商针对本项目编制完整的资源配置计划，内容包含：①劳动力投入计划；②施工机械配备计划；③施工主要材料投入计划。二、赋分标准（9分）： 每满足一项评审内容得3分，针对每项评审内容每存在一处缺陷的扣0.5分，扣完为止；未提供的得0分； 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一、评审内容：供应商针对本项目编制的应急预案措施，内容包含：①人员事故应急预案；②突发暴雨、大风、大雾等特殊天气的应急预案。 二、赋分标准（6分）：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等）；②保修责任及保修承诺。二、赋分标准（6分）：每满足一项评审内容得3分，针对每项评审内容每存在一处缺陷的扣0.5分，扣完为止；未提供的得0分； 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供应商提供2023年6月1日至今类似项目业绩，每提供一个得1.5分，满分3分。（业绩认定以中标通知书或合同签订时间为准，须提供中标通知书或合同协议书）。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