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版本号：SCIT-ZC-SX202607000120260706001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“两新”项目建设服务费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SCIT-ZC-SX2026070001</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“两新”项目建设服务费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SCIT-ZC-SX2026070001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“两新”项目建设服务费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本项目共1个包 ，用于“两新”项目建设服务（具体详见磋商文件）； 项目用途：“两新”项目建设服务； 采购预算：250000元。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授权书及被授权人身份证明及被授权人磋商截止前六个月内任意一个月（不含磋商当月）在本公司缴纳的社保证明（法定代表人直接参与磋商只须提交其身份证明）； 供应商需在项目电子化交易系统中按要求进行电子签章。</w:t>
      </w:r>
    </w:p>
    <w:p>
      <w:pPr>
        <w:pStyle w:val="null3"/>
      </w:pPr>
      <w:r>
        <w:rPr>
          <w:rFonts w:ascii="仿宋_GB2312" w:hAnsi="仿宋_GB2312" w:cs="仿宋_GB2312" w:eastAsia="仿宋_GB2312"/>
        </w:rPr>
        <w:t>2、信用查询：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郝丽鹏、刘江媚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银行账号：9902001855023451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说明：（一）本项目履约保证金为合同金额的5%，在合同签订前必须缴纳，履约保证金缴纳形式：成交供应商应当以支票、汇票、本票、保函等非现金形式缴纳。 （二）收款账户：中标后由采购人提供； （三）履约保证金的退付：项目服务期满后无争议，履约保证金将退还至成交供应商账户。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计价格[2002]1980号及发改办价格[2003]857号通知规定，50万元以下的按标准收费，50万元及以上的下浮20%计取费用，按规定计取的费用进行收取，由成交人在领取成交通知书前向招标代理机构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供应商承诺提供无限期支持，采购人享有使用权，不涉及第三方侵权或纠纷。</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依照采购文件及响应文件、合同条款进行验收，可研报告方案须通过国家相关部门批复通过视为验收合格。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联系人：郝丽鹏、刘江媚</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用于“两新”项目建设服务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撰写项目可行性研究报告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标的名称：撰写项目可行性研究报告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rPr>
              <w:t>1.项目概况</w:t>
            </w:r>
          </w:p>
          <w:p>
            <w:pPr>
              <w:pStyle w:val="null3"/>
              <w:ind w:firstLine="420"/>
              <w:jc w:val="both"/>
            </w:pPr>
            <w:r>
              <w:rPr>
                <w:rFonts w:ascii="仿宋_GB2312" w:hAnsi="仿宋_GB2312" w:cs="仿宋_GB2312" w:eastAsia="仿宋_GB2312"/>
                <w:sz w:val="21"/>
                <w:color w:val="000000"/>
              </w:rPr>
              <w:t>本项目主要用于支付在</w:t>
            </w:r>
            <w:r>
              <w:rPr>
                <w:rFonts w:ascii="仿宋_GB2312" w:hAnsi="仿宋_GB2312" w:cs="仿宋_GB2312" w:eastAsia="仿宋_GB2312"/>
                <w:sz w:val="21"/>
                <w:color w:val="000000"/>
              </w:rPr>
              <w:t>“两新”建设过程中产生的第三方专业技术服务费用，包括委托第三方机构，并支付所发生的劳务报酬。</w:t>
            </w:r>
          </w:p>
          <w:p>
            <w:pPr>
              <w:pStyle w:val="null3"/>
              <w:ind w:firstLine="420"/>
              <w:jc w:val="both"/>
            </w:pPr>
            <w:r>
              <w:rPr>
                <w:rFonts w:ascii="仿宋_GB2312" w:hAnsi="仿宋_GB2312" w:cs="仿宋_GB2312" w:eastAsia="仿宋_GB2312"/>
                <w:sz w:val="21"/>
                <w:color w:val="000000"/>
              </w:rPr>
              <w:t>结合学校学科发展与国家战略需求，撰写项目可行性研究报告</w:t>
            </w:r>
            <w:r>
              <w:rPr>
                <w:rFonts w:ascii="仿宋_GB2312" w:hAnsi="仿宋_GB2312" w:cs="仿宋_GB2312" w:eastAsia="仿宋_GB2312"/>
                <w:sz w:val="21"/>
                <w:color w:val="000000"/>
              </w:rPr>
              <w:t>;对项目的必要性、预算合理性及建设方案进行评审与论证。</w:t>
            </w:r>
          </w:p>
          <w:p>
            <w:pPr>
              <w:pStyle w:val="null3"/>
              <w:ind w:firstLine="420"/>
              <w:jc w:val="both"/>
            </w:pPr>
            <w:r>
              <w:rPr>
                <w:rFonts w:ascii="仿宋_GB2312" w:hAnsi="仿宋_GB2312" w:cs="仿宋_GB2312" w:eastAsia="仿宋_GB2312"/>
                <w:sz w:val="21"/>
              </w:rPr>
              <w:t>2.编制要求</w:t>
            </w:r>
          </w:p>
          <w:p>
            <w:pPr>
              <w:pStyle w:val="null3"/>
              <w:ind w:firstLine="420"/>
              <w:jc w:val="both"/>
            </w:pPr>
            <w:r>
              <w:rPr>
                <w:rFonts w:ascii="仿宋_GB2312" w:hAnsi="仿宋_GB2312" w:cs="仿宋_GB2312" w:eastAsia="仿宋_GB2312"/>
                <w:sz w:val="21"/>
                <w:color w:val="000000"/>
              </w:rPr>
              <w:t>2.1 按相关规范进行该项目的可研编制工作，编制的文件内容、深度需符合国家、陕西省可行性研究报告编制和审批的要求。项目可研报告必须严格按照《投资项目可行性研究报告编写大纲及说明的通知》(发改投资规〔2023〕304号 2023年3月23日印发)进行编制，并达到教育部文件（教科信司〔2024〕22号）要求。</w:t>
            </w:r>
          </w:p>
          <w:p>
            <w:pPr>
              <w:pStyle w:val="null3"/>
              <w:ind w:firstLine="420"/>
              <w:jc w:val="both"/>
            </w:pPr>
            <w:r>
              <w:rPr>
                <w:rFonts w:ascii="仿宋_GB2312" w:hAnsi="仿宋_GB2312" w:cs="仿宋_GB2312" w:eastAsia="仿宋_GB2312"/>
                <w:sz w:val="21"/>
                <w:color w:val="000000"/>
              </w:rPr>
              <w:t>2.2对项目实施的必要性与可行性进行分析研究，提出科学结论与建议。</w:t>
            </w:r>
          </w:p>
          <w:p>
            <w:pPr>
              <w:pStyle w:val="null3"/>
              <w:ind w:firstLine="420"/>
              <w:jc w:val="both"/>
            </w:pPr>
            <w:r>
              <w:rPr>
                <w:rFonts w:ascii="仿宋_GB2312" w:hAnsi="仿宋_GB2312" w:cs="仿宋_GB2312" w:eastAsia="仿宋_GB2312"/>
                <w:sz w:val="21"/>
                <w:color w:val="000000"/>
              </w:rPr>
              <w:t>3.采购人有权根据服务实际情况，对承包范围及内容进行适当调整，并按合同约定处理，成交人必须无条件服从。</w:t>
            </w:r>
          </w:p>
          <w:p>
            <w:pPr>
              <w:pStyle w:val="null3"/>
              <w:ind w:firstLine="420"/>
              <w:jc w:val="both"/>
            </w:pPr>
            <w:r>
              <w:rPr>
                <w:rFonts w:ascii="仿宋_GB2312" w:hAnsi="仿宋_GB2312" w:cs="仿宋_GB2312" w:eastAsia="仿宋_GB2312"/>
                <w:sz w:val="21"/>
                <w:color w:val="000000"/>
              </w:rPr>
              <w:t>4.配合采购人完成项目申报、审批、答辩等全过程服务工作。</w:t>
            </w:r>
          </w:p>
          <w:p>
            <w:pPr>
              <w:pStyle w:val="null3"/>
              <w:ind w:firstLine="420"/>
              <w:jc w:val="both"/>
            </w:pPr>
            <w:r>
              <w:rPr>
                <w:rFonts w:ascii="仿宋_GB2312" w:hAnsi="仿宋_GB2312" w:cs="仿宋_GB2312" w:eastAsia="仿宋_GB2312"/>
                <w:sz w:val="21"/>
                <w:color w:val="000000"/>
              </w:rPr>
              <w:t>5.编制可行性研究报告通过国家发展和改革委员会最终评审；</w:t>
            </w:r>
          </w:p>
          <w:p>
            <w:pPr>
              <w:pStyle w:val="null3"/>
              <w:ind w:firstLine="420"/>
              <w:jc w:val="both"/>
            </w:pPr>
            <w:r>
              <w:rPr>
                <w:rFonts w:ascii="仿宋_GB2312" w:hAnsi="仿宋_GB2312" w:cs="仿宋_GB2312" w:eastAsia="仿宋_GB2312"/>
                <w:sz w:val="21"/>
                <w:color w:val="000000"/>
              </w:rPr>
              <w:t>6.编制内容至少包含：</w:t>
            </w:r>
          </w:p>
          <w:p>
            <w:pPr>
              <w:pStyle w:val="null3"/>
              <w:ind w:firstLine="420"/>
              <w:jc w:val="both"/>
            </w:pPr>
            <w:r>
              <w:rPr>
                <w:rFonts w:ascii="仿宋_GB2312" w:hAnsi="仿宋_GB2312" w:cs="仿宋_GB2312" w:eastAsia="仿宋_GB2312"/>
                <w:sz w:val="21"/>
                <w:color w:val="000000"/>
              </w:rPr>
              <w:t>6.1 总论</w:t>
            </w:r>
          </w:p>
          <w:p>
            <w:pPr>
              <w:pStyle w:val="null3"/>
              <w:ind w:firstLine="420"/>
              <w:jc w:val="both"/>
            </w:pPr>
            <w:r>
              <w:rPr>
                <w:rFonts w:ascii="仿宋_GB2312" w:hAnsi="仿宋_GB2312" w:cs="仿宋_GB2312" w:eastAsia="仿宋_GB2312"/>
                <w:sz w:val="21"/>
                <w:color w:val="000000"/>
              </w:rPr>
              <w:t>6.2 项目建设背景和必要性</w:t>
            </w:r>
          </w:p>
          <w:p>
            <w:pPr>
              <w:pStyle w:val="null3"/>
              <w:ind w:firstLine="420"/>
              <w:jc w:val="both"/>
            </w:pPr>
            <w:r>
              <w:rPr>
                <w:rFonts w:ascii="仿宋_GB2312" w:hAnsi="仿宋_GB2312" w:cs="仿宋_GB2312" w:eastAsia="仿宋_GB2312"/>
                <w:sz w:val="21"/>
                <w:color w:val="000000"/>
              </w:rPr>
              <w:t>6.3 项目需求分析与产出方案</w:t>
            </w:r>
          </w:p>
          <w:p>
            <w:pPr>
              <w:pStyle w:val="null3"/>
              <w:ind w:firstLine="420"/>
              <w:jc w:val="both"/>
            </w:pPr>
            <w:r>
              <w:rPr>
                <w:rFonts w:ascii="仿宋_GB2312" w:hAnsi="仿宋_GB2312" w:cs="仿宋_GB2312" w:eastAsia="仿宋_GB2312"/>
                <w:sz w:val="21"/>
                <w:color w:val="000000"/>
              </w:rPr>
              <w:t>6.4 项目选址与要素保障</w:t>
            </w:r>
          </w:p>
          <w:p>
            <w:pPr>
              <w:pStyle w:val="null3"/>
              <w:ind w:firstLine="420"/>
              <w:jc w:val="both"/>
            </w:pPr>
            <w:r>
              <w:rPr>
                <w:rFonts w:ascii="仿宋_GB2312" w:hAnsi="仿宋_GB2312" w:cs="仿宋_GB2312" w:eastAsia="仿宋_GB2312"/>
                <w:sz w:val="21"/>
                <w:color w:val="000000"/>
              </w:rPr>
              <w:t>6.5 项目建设方案</w:t>
            </w:r>
          </w:p>
          <w:p>
            <w:pPr>
              <w:pStyle w:val="null3"/>
              <w:ind w:firstLine="420"/>
              <w:jc w:val="both"/>
            </w:pPr>
            <w:r>
              <w:rPr>
                <w:rFonts w:ascii="仿宋_GB2312" w:hAnsi="仿宋_GB2312" w:cs="仿宋_GB2312" w:eastAsia="仿宋_GB2312"/>
                <w:sz w:val="21"/>
                <w:color w:val="000000"/>
              </w:rPr>
              <w:t>6.6 项目运营方案</w:t>
            </w:r>
          </w:p>
          <w:p>
            <w:pPr>
              <w:pStyle w:val="null3"/>
              <w:ind w:firstLine="420"/>
              <w:jc w:val="both"/>
            </w:pPr>
            <w:r>
              <w:rPr>
                <w:rFonts w:ascii="仿宋_GB2312" w:hAnsi="仿宋_GB2312" w:cs="仿宋_GB2312" w:eastAsia="仿宋_GB2312"/>
                <w:sz w:val="21"/>
                <w:color w:val="000000"/>
              </w:rPr>
              <w:t>6.7 项目投资与财务方案</w:t>
            </w:r>
          </w:p>
          <w:p>
            <w:pPr>
              <w:pStyle w:val="null3"/>
              <w:ind w:firstLine="420"/>
              <w:jc w:val="both"/>
            </w:pPr>
            <w:r>
              <w:rPr>
                <w:rFonts w:ascii="仿宋_GB2312" w:hAnsi="仿宋_GB2312" w:cs="仿宋_GB2312" w:eastAsia="仿宋_GB2312"/>
                <w:sz w:val="21"/>
                <w:color w:val="000000"/>
              </w:rPr>
              <w:t>6.8 项目影响效果分析</w:t>
            </w:r>
          </w:p>
          <w:p>
            <w:pPr>
              <w:pStyle w:val="null3"/>
              <w:ind w:firstLine="420"/>
              <w:jc w:val="both"/>
            </w:pPr>
            <w:r>
              <w:rPr>
                <w:rFonts w:ascii="仿宋_GB2312" w:hAnsi="仿宋_GB2312" w:cs="仿宋_GB2312" w:eastAsia="仿宋_GB2312"/>
                <w:sz w:val="21"/>
                <w:color w:val="000000"/>
              </w:rPr>
              <w:t>6.9 项目风险管控方案</w:t>
            </w:r>
          </w:p>
          <w:p>
            <w:pPr>
              <w:pStyle w:val="null3"/>
              <w:ind w:firstLine="420"/>
              <w:jc w:val="both"/>
            </w:pPr>
            <w:r>
              <w:rPr>
                <w:rFonts w:ascii="仿宋_GB2312" w:hAnsi="仿宋_GB2312" w:cs="仿宋_GB2312" w:eastAsia="仿宋_GB2312"/>
                <w:sz w:val="21"/>
                <w:color w:val="000000"/>
              </w:rPr>
              <w:t>6.10 研究结论及建议等内容。</w:t>
            </w:r>
          </w:p>
          <w:p>
            <w:pPr>
              <w:pStyle w:val="null3"/>
              <w:ind w:firstLine="420"/>
              <w:jc w:val="both"/>
            </w:pPr>
            <w:r>
              <w:rPr>
                <w:rFonts w:ascii="仿宋_GB2312" w:hAnsi="仿宋_GB2312" w:cs="仿宋_GB2312" w:eastAsia="仿宋_GB2312"/>
                <w:sz w:val="21"/>
                <w:color w:val="000000"/>
              </w:rPr>
              <w:t>7.在服务中，所有行为均应该符合国家相关强制要求的规定，任何违法违规行为均由成交供应商承担相应的法律责任。</w:t>
            </w:r>
          </w:p>
          <w:p>
            <w:pPr>
              <w:pStyle w:val="null3"/>
              <w:ind w:firstLine="420"/>
              <w:jc w:val="both"/>
            </w:pPr>
            <w:r>
              <w:rPr>
                <w:rFonts w:ascii="仿宋_GB2312" w:hAnsi="仿宋_GB2312" w:cs="仿宋_GB2312" w:eastAsia="仿宋_GB2312"/>
                <w:sz w:val="21"/>
                <w:color w:val="000000"/>
              </w:rPr>
              <w:t>8.成交供应商需给采购人提供报告过程中所有素材资料，且保证未经采购人同意不得向任何人透漏项目相关信息和资料。成品版权归采购人所有。</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.可行性研究报告编制方案提交后，根据采购人审核意见修改，积极配合后续服务，直至项目整体通过验收为止。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服务期1年，合同签订之日起甲乙双方确认提资无误后，7个工作日内完成报告编制并提交采购人，服务质量符合国家强制标准、行业规范等相关要求。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依照采购文件及响应文件、合同条款进行验收，可研报告方案须通过国家相关部门批复通过视为验收合格。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进度款，合同签订之日起甲乙双方确认提资无误后，七个工作日内完成报告编制后，达到付款条件起10个工作日内，支付合同总金额的30.0%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进度款，可行性研究报告编制完成，成交人向采购人出具成果文件经采购人验收合格并由陕西省发展和改革委员会评审中心评审通过后，达到付款条件起10个工作日内，支付合同总金额的50.0%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进度款，可行性研究报告编制完成并获得国家相关部门批复（项目申报成功）后，达到付款条件起10个工作日内，支付合同总金额的20.0%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注：根据《关于在政府采购活动中对有关美国企业采取相关措施的通知》（财库〔2026〕10号）规定，供应商不得提供该通知中所列46家美国企业（不包括在华美资企业）生产的产品，否则投标（响应）无效”。 3.3商务要求不允许负偏离。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 2.具备良好商业信誉的证明材料（按照磋商文件格式提供承诺函）； 3.具备健全的财务会计制度的证明材料。｛注：①可提供2025或2024年度经审计的完整的财务报告复印件，②也可提供截至响应文件递交截止日一年内银行出具的资信证明（复印件），③供应商注册时间截至响应文件递交截止日不足一年的，也可提供加盖工商备案主管部门印章的公司章程复印件，④也可提供政府采购信用担保机构出具的《政府采购投标担保函》｝ 4.具有依法缴纳税收和社会保障资金的良好记录（①社会保障资金缴纳证明：提供2025年6月1日至今已缴存的任一月份的社会保障资金缴存单据或社保机构开具的社会保险参保缴费情况证明，依法不需要缴纳社会保障资金的供应商应提供相关文件证明； ）；②提供2025年6月1日至今已缴纳的至少一个月的纳税证明或完税证明，依法免税的单位应提供相关证明材料；）； 5.具备履行合同所必需的设备和专业技术能力的证明材料（按照磋商文件格式提供承诺函）； 6.参加政府采购活动前3年内在经营活动中没有重大违法记录的承诺函（按照磋商文件格式提供承诺函）； 7.具备法律、行政法规规定的其他条件的证明材料（按照磋商文件格式提供承诺函）；供应商需在项目电子化交易系统中按要求填写《投标函》完成承诺并进行电子签章。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完整的财务报告复印件，②也可提供截至响应文件递交截止日一年内银行出具的资信证明（复印件），③供应商注册时间截至响应文件递交截止日不足一年的，也可提供加盖工商备案主管部门印章的公司章程复印件，④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法定代表人授权书及被授权人身份证明及被授权人磋商截止前六个月内任意一个月（不含磋商当月）在本公司缴纳的社保证明（法定代表人直接参与磋商只须提交其身份证明）； 供应商需在项目电子化交易系统中按要求进行电子签章。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响应文件其他格式.docx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1.未按规定缴纳磋商保证金的； 2.响应文件组成明显不符合采购文件的规定要求，影响磋商小组评判的； 3.响应文件的语言、计量单位、知识产权、响应有效期等不符合采购文件的规定，影响磋商小组评判的； 4.磋商小组经过磋商后，供应商响应文件中技术、服务标准明显不符合磋商文件实质性要求的，或者磋商过程中，磋商小组发现或者知晓供应商存在违法、违纪行为的； 5.属于竞争性磋商文件中无效响应情形的。</w:t>
            </w:r>
          </w:p>
        </w:tc>
        <w:tc>
          <w:tcPr>
            <w:tcW w:type="dxa" w:w="3322"/>
          </w:tcPr>
          <w:p>
            <w:pPr>
              <w:pStyle w:val="null3"/>
            </w:pPr>
            <w:r>
              <w:rPr>
                <w:rFonts w:ascii="仿宋_GB2312" w:hAnsi="仿宋_GB2312" w:cs="仿宋_GB2312" w:eastAsia="仿宋_GB2312"/>
              </w:rPr>
              <w:t>1.未按规定缴纳磋商保证金的； 2.响应文件组成明显不符合采购文件的规定要求，影响磋商小组评判的； 3.响应文件的语言、计量单位、知识产权、响应有效期等不符合采购文件的规定，影响磋商小组评判的； 4.磋商小组经过磋商后，供应商响应文件中技术、服务标准明显不符合磋商文件实质性要求的，或者磋商过程中，磋商小组发现或者知晓供应商存在违法、违纪行为的； 5.属于竞争性磋商文件中无效响应情形的。</w:t>
            </w:r>
          </w:p>
        </w:tc>
        <w:tc>
          <w:tcPr>
            <w:tcW w:type="dxa" w:w="1661"/>
          </w:tcPr>
          <w:p>
            <w:pPr>
              <w:pStyle w:val="null3"/>
            </w:pPr>
            <w:r>
              <w:rPr>
                <w:rFonts w:ascii="仿宋_GB2312" w:hAnsi="仿宋_GB2312" w:cs="仿宋_GB2312" w:eastAsia="仿宋_GB2312"/>
              </w:rPr>
              <w:t>响应文件封面 响应文件其他格式.docx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技术服务要求</w:t>
            </w:r>
          </w:p>
        </w:tc>
        <w:tc>
          <w:tcPr>
            <w:tcW w:type="dxa" w:w="2492"/>
          </w:tcPr>
          <w:p>
            <w:pPr>
              <w:pStyle w:val="null3"/>
            </w:pPr>
            <w:r>
              <w:rPr>
                <w:rFonts w:ascii="仿宋_GB2312" w:hAnsi="仿宋_GB2312" w:cs="仿宋_GB2312" w:eastAsia="仿宋_GB2312"/>
              </w:rPr>
              <w:t>技术服务要求中，技术指标完全满足磋商文件要求计27分，每有一条负偏离扣1.5分，扣完为止。 注：以一级序号阿拉伯数字（如 “1.”“2.”“3.”…“1.1”“1.2”“1.3”…）为一项（标题除外）；阿拉伯数字序号下有多级序号的，以最小级阿拉伯数字序号为1项。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供应商提供项目总体方案包含但不限于①项目现状及背景分析；②政策导向及解读③采购需求分析④编制思路及设计规划分析；方案内容齐全、详尽，可行性完全满足磋商文件要求的得8分；每缺一项扣2分，每有一处缺陷的扣0.5分，单项内容要素扣减分值不超过2分，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项目管理及质量方案</w:t>
            </w:r>
          </w:p>
        </w:tc>
        <w:tc>
          <w:tcPr>
            <w:tcW w:type="dxa" w:w="2492"/>
          </w:tcPr>
          <w:p>
            <w:pPr>
              <w:pStyle w:val="null3"/>
            </w:pPr>
            <w:r>
              <w:rPr>
                <w:rFonts w:ascii="仿宋_GB2312" w:hAnsi="仿宋_GB2312" w:cs="仿宋_GB2312" w:eastAsia="仿宋_GB2312"/>
              </w:rPr>
              <w:t>供应商提供项目管理及质量方案包含但不限于①质量控制措施；②重点难点分析及应对措施③服务计划和服务承诺④如遇到政策调整做出响应及处理方案⑤保密管理承诺；方案完整提供得10分；每缺一项扣2分，每有一处缺陷的扣0.5分，单项内容要素扣减分值不超过2分，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响应文件其他格式.docx</w:t>
            </w:r>
          </w:p>
        </w:tc>
      </w:tr>
      <w:tr>
        <w:tc>
          <w:tcPr>
            <w:tcW w:type="dxa" w:w="831"/>
            <w:vMerge/>
          </w:tcPr>
          <w:p/>
        </w:tc>
        <w:tc>
          <w:tcPr>
            <w:tcW w:type="dxa" w:w="1661"/>
          </w:tcPr>
          <w:p>
            <w:pPr>
              <w:pStyle w:val="null3"/>
            </w:pPr>
            <w:r>
              <w:rPr>
                <w:rFonts w:ascii="仿宋_GB2312" w:hAnsi="仿宋_GB2312" w:cs="仿宋_GB2312" w:eastAsia="仿宋_GB2312"/>
              </w:rPr>
              <w:t>服务进度保障措施</w:t>
            </w:r>
          </w:p>
        </w:tc>
        <w:tc>
          <w:tcPr>
            <w:tcW w:type="dxa" w:w="2492"/>
          </w:tcPr>
          <w:p>
            <w:pPr>
              <w:pStyle w:val="null3"/>
            </w:pPr>
            <w:r>
              <w:rPr>
                <w:rFonts w:ascii="仿宋_GB2312" w:hAnsi="仿宋_GB2312" w:cs="仿宋_GB2312" w:eastAsia="仿宋_GB2312"/>
              </w:rPr>
              <w:t>供应商提供进度保障措施包含但不限于①整体时间进度规划；②各环节进度时间表；③进度控制措施；④沟通协调专项保障方案；方案完整提供得8分；每缺一项扣2分，每有一处缺陷的扣0.5分，单项内容要素扣减分值不超过2分，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响应文件其他格式.docx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1.项目负责人： 1）项目负责人具有副高级职称得1分，具有正高级职称得2分（提供证书复印件）； 具有注册工程咨询师（投资）执业资格证书得2分（提供证书复印件）； 2）负责人具有同类（内容涵盖撰写项目可行性研究报告、对项目的必要性、预算合理性及建设方案进行评审与论证等）业绩（2023年1月1日至磋商截止时间）且担任项目负责人，每个业绩得1分，本项最多得4分。（①提供加盖公章的合同协议书复印件；②项目负责人证明：业绩合同中须体现项目负责人姓名信息或加盖公章的服务甲方证明书或证明项目负责人在该项目中所担任该职务的其他文件。 2.其他项目团队成员（除项目负责人外） 1）团队人员中具有相关专业资格证书（如咨询工程师（投资）职业资格证书、一/二级造价工程师职业资格证书、注册建造师（一/二级）），每提供一个得1分，本项最高得4分； 注：同一人有多个证书的，不重复计分。需提供证书复印件并加盖单位公章，未按要求提供不得分。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根据供应商2023年01月01日至磋商响应截止时间同类（内容涵盖撰写项目可行性研究报告、对项目的必要性、预算合理性及建设方案进行评审与论证等）业绩，每提供一份有效合同得1分，最高得7分。 注：以合同签订时间为准，需提供合同复印件。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后期服务承诺及合理化建议</w:t>
            </w:r>
          </w:p>
        </w:tc>
        <w:tc>
          <w:tcPr>
            <w:tcW w:type="dxa" w:w="2492"/>
          </w:tcPr>
          <w:p>
            <w:pPr>
              <w:pStyle w:val="null3"/>
            </w:pPr>
            <w:r>
              <w:rPr>
                <w:rFonts w:ascii="仿宋_GB2312" w:hAnsi="仿宋_GB2312" w:cs="仿宋_GB2312" w:eastAsia="仿宋_GB2312"/>
              </w:rPr>
              <w:t>提供后续服务方案①成果修改、更新等后续服务情况承诺②项目原始素材资料保存方案③前后期人员对接响应及时性方案④合理化建议方案；方案完整提供得8分；每缺一项扣2分，每有一处缺陷的扣0.5分，单项内容要素扣减分值不超过2分，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详见附件：响应文件其他格式.docx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详见附件：邮电--服务类合同模板.docx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