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版本号：JXZB2026-N1018.1B320260717001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高校对外培训项目(四次)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JXZB2026-N1018.1B3</w:t>
      </w:r>
      <w:r>
        <w:br/>
      </w:r>
      <w:r>
        <w:br/>
      </w:r>
      <w:r>
        <w:br/>
      </w:r>
    </w:p>
    <w:p>
      <w:pPr>
        <w:pStyle w:val="null3"/>
        <w:jc w:val="center"/>
        <w:outlineLvl w:val="2"/>
      </w:pPr>
      <w:r>
        <w:rPr>
          <w:rFonts w:ascii="仿宋_GB2312" w:hAnsi="仿宋_GB2312" w:cs="仿宋_GB2312" w:eastAsia="仿宋_GB2312"/>
          <w:sz w:val="28"/>
          <w:b/>
        </w:rPr>
        <w:t>西安开放大学</w:t>
      </w:r>
    </w:p>
    <w:p>
      <w:pPr>
        <w:pStyle w:val="null3"/>
        <w:jc w:val="center"/>
        <w:outlineLvl w:val="2"/>
      </w:pPr>
      <w:r>
        <w:rPr>
          <w:rFonts w:ascii="仿宋_GB2312" w:hAnsi="仿宋_GB2312" w:cs="仿宋_GB2312" w:eastAsia="仿宋_GB2312"/>
          <w:sz w:val="28"/>
          <w:b/>
        </w:rPr>
        <w:t>中天久信管理咨询集团有限公司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中天久信管理咨询集团有限公司</w:t>
      </w:r>
      <w:r>
        <w:rPr>
          <w:rFonts w:ascii="仿宋_GB2312" w:hAnsi="仿宋_GB2312" w:cs="仿宋_GB2312" w:eastAsia="仿宋_GB2312"/>
        </w:rPr>
        <w:t>（以下简称“代理机构”）受</w:t>
      </w:r>
      <w:r>
        <w:rPr>
          <w:rFonts w:ascii="仿宋_GB2312" w:hAnsi="仿宋_GB2312" w:cs="仿宋_GB2312" w:eastAsia="仿宋_GB2312"/>
        </w:rPr>
        <w:t>西安开放大学</w:t>
      </w:r>
      <w:r>
        <w:rPr>
          <w:rFonts w:ascii="仿宋_GB2312" w:hAnsi="仿宋_GB2312" w:cs="仿宋_GB2312" w:eastAsia="仿宋_GB2312"/>
        </w:rPr>
        <w:t>委托，拟对</w:t>
      </w:r>
      <w:r>
        <w:rPr>
          <w:rFonts w:ascii="仿宋_GB2312" w:hAnsi="仿宋_GB2312" w:cs="仿宋_GB2312" w:eastAsia="仿宋_GB2312"/>
        </w:rPr>
        <w:t>高校对外培训项目(四次)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JXZB2026-N1018.1B3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高校对外培训项目(四次)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本项目主要为教师培训及社会培训、乡村振兴培训及其他培训项目提供所需的酒店食宿、培训场地和外出学习考察交通服务。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采购包1（高校对外培训项目）：属于专门面向中小企业采购。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1、具有独立承担民事责任的能力：提供供应商合法注册的法人或其他组织的营业执照等证明文件或自然人的身份证明。</w:t>
      </w:r>
    </w:p>
    <w:p>
      <w:pPr>
        <w:pStyle w:val="null3"/>
      </w:pPr>
      <w:r>
        <w:rPr>
          <w:rFonts w:ascii="仿宋_GB2312" w:hAnsi="仿宋_GB2312" w:cs="仿宋_GB2312" w:eastAsia="仿宋_GB2312"/>
        </w:rPr>
        <w:t>2、财务状况报告：提供具有财务审计资质单位出具合法有效的2024年或2025年度财务审计报告（成立时间至开标时间不足一年的可提供成立后任意时段的资产负债表）或开标前六个月内其基本账户银行出具的资信（金）证明或政府采购信用担保机构出具的担保函。</w:t>
      </w:r>
    </w:p>
    <w:p>
      <w:pPr>
        <w:pStyle w:val="null3"/>
      </w:pPr>
      <w:r>
        <w:rPr>
          <w:rFonts w:ascii="仿宋_GB2312" w:hAnsi="仿宋_GB2312" w:cs="仿宋_GB2312" w:eastAsia="仿宋_GB2312"/>
        </w:rPr>
        <w:t>3、税收缴纳证明：提供截止至开标时间前12个月内任意一个月的税收缴纳凭据（增值税、企业所得税至少提供一种，依法免税的供应商应提供相关文件证明）。</w:t>
      </w:r>
    </w:p>
    <w:p>
      <w:pPr>
        <w:pStyle w:val="null3"/>
      </w:pPr>
      <w:r>
        <w:rPr>
          <w:rFonts w:ascii="仿宋_GB2312" w:hAnsi="仿宋_GB2312" w:cs="仿宋_GB2312" w:eastAsia="仿宋_GB2312"/>
        </w:rPr>
        <w:t>4、社会保障资金缴纳证明：提供截止至开标时间前12个月内任意一个月的社保缴纳凭据或社保机构开具的社会保险参保缴纳情况证明（依法不需要缴纳社会保障资金的供应商应提供相关证明）。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5、具有履行本合同所必需的设备和专业技术能力：提供具有履行本合同所必需的设备和专业技术能力的说明及承诺（提供书面说明及承诺，加盖供应商公章）。</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磋商文件中的所有“法定代表人”相关要求，若参与单位为非法人单位，其负责人参照上述规定执行。</w:t>
      </w:r>
    </w:p>
    <w:p>
      <w:pPr>
        <w:pStyle w:val="null3"/>
      </w:pPr>
      <w:r>
        <w:rPr>
          <w:rFonts w:ascii="仿宋_GB2312" w:hAnsi="仿宋_GB2312" w:cs="仿宋_GB2312" w:eastAsia="仿宋_GB2312"/>
        </w:rPr>
        <w:t>8、信用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查询：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pPr>
        <w:pStyle w:val="null3"/>
      </w:pPr>
      <w:r>
        <w:rPr>
          <w:rFonts w:ascii="仿宋_GB2312" w:hAnsi="仿宋_GB2312" w:cs="仿宋_GB2312" w:eastAsia="仿宋_GB2312"/>
        </w:rPr>
        <w:t>10、联合体审查：本次项目不接受联合体。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西安开放大学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西安市碑林区五味什字48号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欧老师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029-83233112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中天久信管理咨询集团有限公司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 38 号粤汉国际 C 座（粤汉酒店）14 层（F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屈琳妮、马珍、安琪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029-89525802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照《国家发展改革委关于进一步放开建设项目专业服务价格的通知》（发改价格（2015）299号）文件的要求，结合市场实际情况，经甲、乙双方协商一致，以中标金额为基准，下浮10.00%收取（不足4000元的按4000元计取）。在成交通知书发出前由成交供应商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西安开放大学</w:t>
      </w:r>
      <w:r>
        <w:rPr>
          <w:rFonts w:ascii="仿宋_GB2312" w:hAnsi="仿宋_GB2312" w:cs="仿宋_GB2312" w:eastAsia="仿宋_GB2312"/>
        </w:rPr>
        <w:t>和</w:t>
      </w:r>
      <w:r>
        <w:rPr>
          <w:rFonts w:ascii="仿宋_GB2312" w:hAnsi="仿宋_GB2312" w:cs="仿宋_GB2312" w:eastAsia="仿宋_GB2312"/>
        </w:rPr>
        <w:t>中天久信管理咨询集团有限公司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西安开放大学</w:t>
      </w:r>
      <w:r>
        <w:rPr>
          <w:rFonts w:ascii="仿宋_GB2312" w:hAnsi="仿宋_GB2312" w:cs="仿宋_GB2312" w:eastAsia="仿宋_GB2312"/>
        </w:rPr>
        <w:t>负责解释。除上述磋商文件内容，其他内容由</w:t>
      </w:r>
      <w:r>
        <w:rPr>
          <w:rFonts w:ascii="仿宋_GB2312" w:hAnsi="仿宋_GB2312" w:cs="仿宋_GB2312" w:eastAsia="仿宋_GB2312"/>
        </w:rPr>
        <w:t>中天久信管理咨询集团有限公司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西安开放大学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中天久信管理咨询集团有限公司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中天久信管理咨询集团有限公司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联系人：屈琳妮、马珍、安琪</w:t>
      </w:r>
    </w:p>
    <w:p>
      <w:pPr>
        <w:pStyle w:val="null3"/>
      </w:pPr>
      <w:r>
        <w:rPr>
          <w:rFonts w:ascii="仿宋_GB2312" w:hAnsi="仿宋_GB2312" w:cs="仿宋_GB2312" w:eastAsia="仿宋_GB2312"/>
        </w:rPr>
        <w:t>联系电话：029-89525802</w:t>
      </w:r>
    </w:p>
    <w:p>
      <w:pPr>
        <w:pStyle w:val="null3"/>
      </w:pPr>
      <w:r>
        <w:rPr>
          <w:rFonts w:ascii="仿宋_GB2312" w:hAnsi="仿宋_GB2312" w:cs="仿宋_GB2312" w:eastAsia="仿宋_GB2312"/>
        </w:rPr>
        <w:t>地址：西安市高新区锦业路 38 号粤汉国际 C 座（粤汉酒店）14 层（F 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本项目主要为教师培训及社会培训、乡村振兴培训及其他培训项目提供所需的酒店食宿、培训场地和外出学习考察交通服务。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1,640,000.00</w:t>
      </w:r>
    </w:p>
    <w:p>
      <w:pPr>
        <w:pStyle w:val="null3"/>
      </w:pPr>
      <w:r>
        <w:rPr>
          <w:rFonts w:ascii="仿宋_GB2312" w:hAnsi="仿宋_GB2312" w:cs="仿宋_GB2312" w:eastAsia="仿宋_GB2312"/>
        </w:rPr>
        <w:t>采购包最高限价（元）: 1,640,000.00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培训服务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主要为教师培训及社会培训、乡村振兴培训及其他培训项目提供所需的酒店食宿、培训场地和外出学习考察交通服务。</w:t>
            </w:r>
          </w:p>
          <w:p>
            <w:pPr>
              <w:pStyle w:val="null3"/>
            </w:pPr>
            <w:r>
              <w:rPr>
                <w:rFonts w:ascii="仿宋_GB2312" w:hAnsi="仿宋_GB2312" w:cs="仿宋_GB2312" w:eastAsia="仿宋_GB2312"/>
              </w:rPr>
              <w:t>二、招标内容</w:t>
            </w:r>
          </w:p>
          <w:p>
            <w:pPr>
              <w:pStyle w:val="null3"/>
            </w:pPr>
            <w:r>
              <w:rPr>
                <w:rFonts w:ascii="仿宋_GB2312" w:hAnsi="仿宋_GB2312" w:cs="仿宋_GB2312" w:eastAsia="仿宋_GB2312"/>
              </w:rPr>
              <w:t>本招标项目包含培训期间学员食宿、培训场地、设备使用和外出学习考察交通等服务。</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rPr>
              <w:t>（</w:t>
            </w:r>
            <w:r>
              <w:rPr>
                <w:rFonts w:ascii="仿宋_GB2312" w:hAnsi="仿宋_GB2312" w:cs="仿宋_GB2312" w:eastAsia="仿宋_GB2312"/>
              </w:rPr>
              <w:t>1）酒店位置：新城区、莲湖区、雁塔区、碑林区、未央区、灞桥区、长安区，交通便利，地处地铁口，公交车站500米范围内。</w:t>
            </w:r>
          </w:p>
          <w:p>
            <w:pPr>
              <w:pStyle w:val="null3"/>
            </w:pPr>
            <w:r>
              <w:rPr>
                <w:rFonts w:ascii="仿宋_GB2312" w:hAnsi="仿宋_GB2312" w:cs="仿宋_GB2312" w:eastAsia="仿宋_GB2312"/>
              </w:rPr>
              <w:t>（</w:t>
            </w:r>
            <w:r>
              <w:rPr>
                <w:rFonts w:ascii="仿宋_GB2312" w:hAnsi="仿宋_GB2312" w:cs="仿宋_GB2312" w:eastAsia="仿宋_GB2312"/>
              </w:rPr>
              <w:t>2）酒店等级：三星级以上（含三星级）宾馆标准。</w:t>
            </w:r>
          </w:p>
          <w:p>
            <w:pPr>
              <w:pStyle w:val="null3"/>
            </w:pPr>
            <w:r>
              <w:rPr>
                <w:rFonts w:ascii="仿宋_GB2312" w:hAnsi="仿宋_GB2312" w:cs="仿宋_GB2312" w:eastAsia="仿宋_GB2312"/>
              </w:rPr>
              <w:t>（</w:t>
            </w:r>
            <w:r>
              <w:rPr>
                <w:rFonts w:ascii="仿宋_GB2312" w:hAnsi="仿宋_GB2312" w:cs="仿宋_GB2312" w:eastAsia="仿宋_GB2312"/>
              </w:rPr>
              <w:t>3）酒店房间：标准间（双人床房间）不少于160间。</w:t>
            </w:r>
          </w:p>
          <w:p>
            <w:pPr>
              <w:pStyle w:val="null3"/>
            </w:pPr>
            <w:r>
              <w:rPr>
                <w:rFonts w:ascii="仿宋_GB2312" w:hAnsi="仿宋_GB2312" w:cs="仿宋_GB2312" w:eastAsia="仿宋_GB2312"/>
              </w:rPr>
              <w:t>（</w:t>
            </w:r>
            <w:r>
              <w:rPr>
                <w:rFonts w:ascii="仿宋_GB2312" w:hAnsi="仿宋_GB2312" w:cs="仿宋_GB2312" w:eastAsia="仿宋_GB2312"/>
              </w:rPr>
              <w:t>4）会场规模：前厅面积不小于150平方米，必须具有至少可容纳100人会场2个以上，100-200人会场1个，有接待大型会议培训经验。</w:t>
            </w:r>
          </w:p>
          <w:p>
            <w:pPr>
              <w:pStyle w:val="null3"/>
            </w:pPr>
            <w:r>
              <w:rPr>
                <w:rFonts w:ascii="仿宋_GB2312" w:hAnsi="仿宋_GB2312" w:cs="仿宋_GB2312" w:eastAsia="仿宋_GB2312"/>
              </w:rPr>
              <w:t>（</w:t>
            </w:r>
            <w:r>
              <w:rPr>
                <w:rFonts w:ascii="仿宋_GB2312" w:hAnsi="仿宋_GB2312" w:cs="仿宋_GB2312" w:eastAsia="仿宋_GB2312"/>
              </w:rPr>
              <w:t>5）要求有自有的、独立的经营场地，培训会场在酒店内部，不与住宿用餐分离。</w:t>
            </w:r>
          </w:p>
          <w:p>
            <w:pPr>
              <w:pStyle w:val="null3"/>
            </w:pPr>
            <w:r>
              <w:rPr>
                <w:rFonts w:ascii="仿宋_GB2312" w:hAnsi="仿宋_GB2312" w:cs="仿宋_GB2312" w:eastAsia="仿宋_GB2312"/>
              </w:rPr>
              <w:t>（</w:t>
            </w:r>
            <w:r>
              <w:rPr>
                <w:rFonts w:ascii="仿宋_GB2312" w:hAnsi="仿宋_GB2312" w:cs="仿宋_GB2312" w:eastAsia="仿宋_GB2312"/>
              </w:rPr>
              <w:t>6）要求酒店餐饮要有专业健康管理师、食品安全</w:t>
            </w:r>
            <w:r>
              <w:rPr>
                <w:rFonts w:ascii="仿宋_GB2312" w:hAnsi="仿宋_GB2312" w:cs="仿宋_GB2312" w:eastAsia="仿宋_GB2312"/>
              </w:rPr>
              <w:t>管理师、厨师证。</w:t>
            </w:r>
          </w:p>
          <w:p>
            <w:pPr>
              <w:pStyle w:val="null3"/>
            </w:pPr>
            <w:r>
              <w:rPr>
                <w:rFonts w:ascii="仿宋_GB2312" w:hAnsi="仿宋_GB2312" w:cs="仿宋_GB2312" w:eastAsia="仿宋_GB2312"/>
              </w:rPr>
              <w:t>（</w:t>
            </w:r>
            <w:r>
              <w:rPr>
                <w:rFonts w:ascii="仿宋_GB2312" w:hAnsi="仿宋_GB2312" w:cs="仿宋_GB2312" w:eastAsia="仿宋_GB2312"/>
              </w:rPr>
              <w:t>7）</w:t>
            </w:r>
            <w:r>
              <w:rPr>
                <w:rFonts w:ascii="仿宋_GB2312" w:hAnsi="仿宋_GB2312" w:cs="仿宋_GB2312" w:eastAsia="仿宋_GB2312"/>
              </w:rPr>
              <w:t>具有《食品经营许可证》或《食品生产许可证》。具体以实际参训人数及实际发生金额按单价完成结算。</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1）酒店所有房间免收押金，先保障培训住宿，后支付住宿费用。</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2）酒店须提供早中晚自助餐，其中早餐、中餐和晚餐每人每天餐费的最高限价为130元，按实际用餐人数和用餐次数结算。</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3）酒店标准间最高限价为220元/天。</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4）酒店50-100人会场最高限价为3500元/天，100-200人会场最高限价为5000元/天，培训期间提供每天配套茶歇服务及LED设备。</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5）酒店提供的住宿房间必须整洁卫生、有窗户，应配备灭火器等应急安全设备，按照要求，做好住宿消杀和防护。</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6）培训期间酒店提供教师、学员车辆免费停放。</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7）培训期间酒店提供服务员全程跟会及技术人员全程支持服务。</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8）培训期间酒店提供大巴车接送服务，车辆须满足不少于53人座，每天100公里以内最高限价为1800元/辆；每超出1公里加收10元。若大巴车由第三方提供的，均须符合国家有关营运政策及陕西省政府采购有关政府购买服务类相关政策要求。</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9）餐费按实际用餐人数和用餐次数据实结算。住宿、会场、用车按照实际使用情况据实结算。</w:t>
            </w:r>
          </w:p>
          <w:p>
            <w:pPr>
              <w:pStyle w:val="null3"/>
            </w:pPr>
            <w:r>
              <w:rPr>
                <w:rFonts w:ascii="仿宋_GB2312" w:hAnsi="仿宋_GB2312" w:cs="仿宋_GB2312" w:eastAsia="仿宋_GB2312"/>
                <w:b/>
              </w:rPr>
              <w:t>备注：本服务要求为实质性要求，需在采购需求偏离表中点对点应答。</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sz w:val="21"/>
                <w:color w:val="000000"/>
              </w:rPr>
              <w:t>标准间（双人床房间）暂按2544间计，用餐人数暂按5230人计，100-200人会场暂按50天计，50-100人会场暂按25天计，车辆暂按35车次（辆）计，此处为预估量，具体金额以各自实际发生数量按单价计算完成结算。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人员配置能满足项目需求。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住宿费按“间”计，餐费按“人”计，会场按“场次”计，车辆按“车次（辆）”计，具体金额以各自实际发生数量按单价计算完成结算。</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自合同签订之日起365个日历日。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每期培训结束后，自甲方收到发票之日起</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1、款项结算：培训结束后，根据培训实际发生金额结算。 2、成交供应商在领取成交通知书前，需向采购代理机构提交纸质版响应文件二份，纸质版文件须为电子响应文件的打印版。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提供供应商合法注册的法人或其他组织的营业执照等证明文件或自然人的身份证明。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合法有效的2024年或2025年度财务审计报告（成立时间至开标时间不足一年的可提供成立后任意时段的资产负债表）或开标前六个月内其基本账户银行出具的资信（金）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提供截止至开标时间前12个月内任意一个月的税收缴纳凭据（增值税、企业所得税至少提供一种，依法免税的供应商应提供相关文件证明）。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提供截止至开标时间前12个月内任意一个月的社保缴纳凭据或社保机构开具的社会保险参保缴纳情况证明（依法不需要缴纳社会保障资金的供应商应提供相关证明）。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磋商文件中的所有“法定代表人”相关要求，若参与单位为非法人单位，其负责人参照上述规定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联合体审查</w:t>
            </w:r>
          </w:p>
        </w:tc>
        <w:tc>
          <w:tcPr>
            <w:tcW w:type="dxa" w:w="3322"/>
          </w:tcPr>
          <w:p>
            <w:pPr>
              <w:pStyle w:val="null3"/>
            </w:pPr>
            <w:r>
              <w:rPr>
                <w:rFonts w:ascii="仿宋_GB2312" w:hAnsi="仿宋_GB2312" w:cs="仿宋_GB2312" w:eastAsia="仿宋_GB2312"/>
              </w:rPr>
              <w:t>本次项目不接受联合体。</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响应文件按磋商文件要求的计量单位、报价货币及签字盖章</w:t>
            </w:r>
          </w:p>
        </w:tc>
        <w:tc>
          <w:tcPr>
            <w:tcW w:type="dxa" w:w="3322"/>
          </w:tcPr>
          <w:p>
            <w:pPr>
              <w:pStyle w:val="null3"/>
            </w:pPr>
            <w:r>
              <w:rPr>
                <w:rFonts w:ascii="仿宋_GB2312" w:hAnsi="仿宋_GB2312" w:cs="仿宋_GB2312" w:eastAsia="仿宋_GB2312"/>
              </w:rPr>
              <w:t>响应文件按磋商文件要求的计量单位、报价货币及签字盖章</w:t>
            </w:r>
          </w:p>
        </w:tc>
        <w:tc>
          <w:tcPr>
            <w:tcW w:type="dxa" w:w="1661"/>
          </w:tcPr>
          <w:p>
            <w:pPr>
              <w:pStyle w:val="null3"/>
            </w:pPr>
            <w:r>
              <w:rPr>
                <w:rFonts w:ascii="仿宋_GB2312" w:hAnsi="仿宋_GB2312" w:cs="仿宋_GB2312" w:eastAsia="仿宋_GB2312"/>
              </w:rPr>
              <w:t>响应文件封面 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最高限价（单价及总价）</w:t>
            </w:r>
          </w:p>
        </w:tc>
        <w:tc>
          <w:tcPr>
            <w:tcW w:type="dxa" w:w="3322"/>
          </w:tcPr>
          <w:p>
            <w:pPr>
              <w:pStyle w:val="null3"/>
            </w:pPr>
            <w:r>
              <w:rPr>
                <w:rFonts w:ascii="仿宋_GB2312" w:hAnsi="仿宋_GB2312" w:cs="仿宋_GB2312" w:eastAsia="仿宋_GB2312"/>
              </w:rPr>
              <w:t>详见第三章。 供应商的采购包响应报价高于最高限价的，其响应文件将按无效处理。</w:t>
            </w:r>
          </w:p>
        </w:tc>
        <w:tc>
          <w:tcPr>
            <w:tcW w:type="dxa" w:w="1661"/>
          </w:tcPr>
          <w:p>
            <w:pPr>
              <w:pStyle w:val="null3"/>
            </w:pPr>
            <w:r>
              <w:rPr>
                <w:rFonts w:ascii="仿宋_GB2312" w:hAnsi="仿宋_GB2312" w:cs="仿宋_GB2312" w:eastAsia="仿宋_GB2312"/>
              </w:rPr>
              <w:t>响应文件封面 分项报价表.docx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商务应答表 采购需求偏离表.docx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评审得分相同的，按照最后报价由低到高的顺序推荐。评审得分且最后报价相同的，按照服务方案优劣顺序推荐。评审得分且最后报价且服务方案得分均相同的，成交候选供应商并列。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一、评审内容：供应商针对本项目特点提供的整体服务方案，内容包括① 服务内容（供应商提供的食宿、场地、交通等具体情况和服务内容）②服务流程（供应商针对本项目特点，制定从前期与采购人对接到最终服务结束的整体服务流程方案）③服务保障措施（旺季或突发情况下优先保障本项目进行的措施、服务响应时效措施）④服务承诺（对服务投诉率、服务满意度、转场效率、安全保障的量化承诺；其他免费增值服务承诺）等内容。 二、评审标准：根据每项评审内容的符合性、完整性等进行赋分。 三、赋分标准：每项内容完整，逻辑清晰、概念准确、体现本项目特点，具有针对性，可实施性的可得5分，满分20分；每有一项内容严重缺陷扣 4分，每有一项内容存在一般缺陷扣 2分，每有一项内容存在轻微缺陷扣1分，扣完为止，未提供的计 0 分。 内容缺陷是指：内容不合理、方案与实际不相符、缺少关键节点内容、与项目需求不匹配、不利于项目实施、套用其他项目方案、引用技术规范不合理等任意一种情形。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酒店硬件设施</w:t>
            </w:r>
          </w:p>
        </w:tc>
        <w:tc>
          <w:tcPr>
            <w:tcW w:type="dxa" w:w="2492"/>
          </w:tcPr>
          <w:p>
            <w:pPr>
              <w:pStyle w:val="null3"/>
            </w:pPr>
            <w:r>
              <w:rPr>
                <w:rFonts w:ascii="仿宋_GB2312" w:hAnsi="仿宋_GB2312" w:cs="仿宋_GB2312" w:eastAsia="仿宋_GB2312"/>
              </w:rPr>
              <w:t>评审内容：硬件设施条件： ①酒店位于地铁口，公交车站200米以内的得2分；注：需提供高德、百度等导航地图截图作为证明材料。 ②酒店等级为四星级的得2分、五星级及以上的3分。 注：需提供酒店《星级证书》或《星级标牌》复印件。 ③标准间（双人床房间）在240（含）-320（不含）间内的得2分，320（含）以上的得3分； 注：需提供相关证明材料。包括但不限于酒店在行政主管部门登记核准的相关备案资料/酒店网站介绍截图/酒店整体结构图/供应商承诺函等。 ④会场前厅面积在200平米基础上，每增加50平方米的得1分，最多得3分；具有可容纳100-200人会场2个的得1分，3个的得2分，4个及以上的得3分。 注：需提供相关证明材料。包括但不限于酒店在行政主管部门登记核准的相关备案资料/酒店网站介绍截图/酒店整体结构图/供应商承诺函等。 ⑤酒店内配备医务室的得2分。无医务室但配备常用应急医药箱/急救包的得1分； 注：提供实景照片。</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供餐方案</w:t>
            </w:r>
          </w:p>
        </w:tc>
        <w:tc>
          <w:tcPr>
            <w:tcW w:type="dxa" w:w="2492"/>
          </w:tcPr>
          <w:p>
            <w:pPr>
              <w:pStyle w:val="null3"/>
            </w:pPr>
            <w:r>
              <w:rPr>
                <w:rFonts w:ascii="仿宋_GB2312" w:hAnsi="仿宋_GB2312" w:cs="仿宋_GB2312" w:eastAsia="仿宋_GB2312"/>
              </w:rPr>
              <w:t>一、评审内容：①供餐方案：菜品品种及口味丰富多样，荤素营养搭配合理，能满足不同培训学员的饮食习惯；②食品安全：餐厅环境卫生、食品留样制度齐全。 二、评审标准：根据每项评审内容的符合性、完整性等进行赋分。 三、赋分标准：每项内容完整，逻辑清晰、体现本项目特点，具有针对性，可实施性的可得3分，满分6分；每有一项内容严重缺陷扣2分，每有一项内容存在一般缺陷扣 1分，每有一项内容存在轻微缺陷扣0.5分，扣完为止，未提供的计 0 分。 内容缺陷是指：内容不合理、方案与实际不相符、与项目需求不匹配、不利于项目实施、套用其他项目方案、方案内容不合理等任意一种情形。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接送服务</w:t>
            </w:r>
          </w:p>
        </w:tc>
        <w:tc>
          <w:tcPr>
            <w:tcW w:type="dxa" w:w="2492"/>
          </w:tcPr>
          <w:p>
            <w:pPr>
              <w:pStyle w:val="null3"/>
            </w:pPr>
            <w:r>
              <w:rPr>
                <w:rFonts w:ascii="仿宋_GB2312" w:hAnsi="仿宋_GB2312" w:cs="仿宋_GB2312" w:eastAsia="仿宋_GB2312"/>
              </w:rPr>
              <w:t>一、评审内容：①车辆配置：车型、车龄、座位数、空调等配置符合培训考察需求，提供车辆清单。 ②安全保障：车辆保险（交强险+商业险+座位险）、司机资质（驾驶证、3年内无重大事故记录）。 ③调度机制：多班次并发考察的车辆调度方案、备用车辆保障、恶劣天气应对措施。 二、评审标准：根据每项评审内容的符合性、完整性等进行赋分。 三、赋分标准：每项内容完整，逻辑清晰、体现本项目特点，具有针对性，可实施性的可得2分，满分6分；每有一项内容严重缺陷扣1.5分，每有一项内容存在一般缺陷扣1分，每有一项内容存在轻微缺陷扣0.5分，每有一项内容存在细微缺陷扣0.5分，扣完为止，未提供的计0分。 内容缺陷是指：内容不合理、方案与实际不相符、与项目需求不匹配、不利于项目实施、套用其他项目方案、方案内容不合理等任意一种情形。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评审内容：项目团队配备①供应商拟为本项目配备团队人员应至少包含：项目总负责人1名；与采购人专职联络对接人员1名；会场负责人1名；住宿负责人1名；会场专职安全员1名；会场专职服务员2名。满足基本条件的得10分，不满足的不得分。在此基础上，专职安全人员及服务员每增加1名得1分，最多得2分。 注：需提供以上人员身份证及2026年任意一个月的社保缴纳证明材料复印件。未提供的按无效人员对待。 ②如供应商可在培训期间提供专职应急医护人员的，得3分。 注：需提供医护人员身份证及有效的《医师执业证书》或《护士执业证书》复印件。未提供的按无效人员对待。</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质量控制管理措施</w:t>
            </w:r>
          </w:p>
        </w:tc>
        <w:tc>
          <w:tcPr>
            <w:tcW w:type="dxa" w:w="2492"/>
          </w:tcPr>
          <w:p>
            <w:pPr>
              <w:pStyle w:val="null3"/>
            </w:pPr>
            <w:r>
              <w:rPr>
                <w:rFonts w:ascii="仿宋_GB2312" w:hAnsi="仿宋_GB2312" w:cs="仿宋_GB2312" w:eastAsia="仿宋_GB2312"/>
              </w:rPr>
              <w:t>供应商应针对本项目提供完善的服务质量保证措施。措施内容完善可行、内容全面具体、针对性强、可操作性强得4分，措施内容基本符合本项目要求，具有一定的针对性得2分；措施内容完整性、针对性、可操作性均一般，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供应商针对可能出现的问题及突发事件，有具体可行的应急措施和解决方案， 应急措施详尽，合理可行，逻辑清楚，针对性及可行性强，得3分；应急措施内容基本合理，基本可行得2分； 应急措施内容简单笼统，方案针对性一般得1分；未提供不得分。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提供2023年04月01日至今类似项目业绩，每份得2分,最高得10分。未提供不得分。（附业绩完整合同复印件加盖公章作为证明材料）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