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版本号：DHY-2026-081920260819001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蓝田县文化馆提升改造项目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DHY-2026-0819</w:t>
      </w:r>
      <w:r>
        <w:br/>
      </w:r>
      <w:r>
        <w:br/>
      </w:r>
      <w:r>
        <w:br/>
      </w:r>
    </w:p>
    <w:p>
      <w:pPr>
        <w:pStyle w:val="null3"/>
        <w:jc w:val="center"/>
        <w:outlineLvl w:val="2"/>
      </w:pPr>
      <w:r>
        <w:rPr>
          <w:rFonts w:ascii="仿宋_GB2312" w:hAnsi="仿宋_GB2312" w:cs="仿宋_GB2312" w:eastAsia="仿宋_GB2312"/>
          <w:sz w:val="28"/>
          <w:b/>
        </w:rPr>
        <w:t>西安市蓝田县文化馆</w:t>
      </w:r>
    </w:p>
    <w:p>
      <w:pPr>
        <w:pStyle w:val="null3"/>
        <w:jc w:val="center"/>
        <w:outlineLvl w:val="2"/>
      </w:pPr>
      <w:r>
        <w:rPr>
          <w:rFonts w:ascii="仿宋_GB2312" w:hAnsi="仿宋_GB2312" w:cs="仿宋_GB2312" w:eastAsia="仿宋_GB2312"/>
          <w:sz w:val="28"/>
          <w:b/>
        </w:rPr>
        <w:t>陕西鼎慧源工程项目管理有限公司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陕西鼎慧源工程项目管理有限公司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西安市蓝田县文化馆</w:t>
      </w:r>
      <w:r>
        <w:rPr>
          <w:rFonts w:ascii="仿宋_GB2312" w:hAnsi="仿宋_GB2312" w:cs="仿宋_GB2312" w:eastAsia="仿宋_GB2312"/>
        </w:rPr>
        <w:t>委托，拟对</w:t>
      </w:r>
      <w:r>
        <w:rPr>
          <w:rFonts w:ascii="仿宋_GB2312" w:hAnsi="仿宋_GB2312" w:cs="仿宋_GB2312" w:eastAsia="仿宋_GB2312"/>
        </w:rPr>
        <w:t>蓝田县文化馆提升改造项目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DHY-2026-0819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蓝田县文化馆提升改造项目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蓝田县文化馆提升改造项目，实施内容为白鹿广场：拆除及新做塑胶面层3128㎡、拆除及新做防水层200㎡；文化馆：拆除及新做防水层300㎡、管道拆除及恢复50m；拆除混凝土路面及新做沥青路面1051㎡及两馆线路改造等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采购包1（蓝田县文化馆提升改造项目）：属于专门面向中小企业采购。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1、营业执照：供应商具有独立承担民事责任能力的法人、其他组织或自然人，并出具合法有效的营业执照；</w:t>
      </w:r>
    </w:p>
    <w:p>
      <w:pPr>
        <w:pStyle w:val="null3"/>
      </w:pPr>
      <w:r>
        <w:rPr>
          <w:rFonts w:ascii="仿宋_GB2312" w:hAnsi="仿宋_GB2312" w:cs="仿宋_GB2312" w:eastAsia="仿宋_GB2312"/>
        </w:rPr>
        <w:t>2、法定代表人身份证明或法定代表人授权书：法定代表人参加磋商提供法定代表人身份证明（附法定代表人身份证复印件），委托代理人参加磋商提供法定代表人授权委托书（附法定代表人、委托代理人身份证复印件）；</w:t>
      </w:r>
    </w:p>
    <w:p>
      <w:pPr>
        <w:pStyle w:val="null3"/>
      </w:pPr>
      <w:r>
        <w:rPr>
          <w:rFonts w:ascii="仿宋_GB2312" w:hAnsi="仿宋_GB2312" w:cs="仿宋_GB2312" w:eastAsia="仿宋_GB2312"/>
        </w:rPr>
        <w:t>3、资质要求：供应商须具备建设行政主管部门颁发的建筑工程施工总承包三级及以上资质（或调整后的同等资质等级），同时须具备有效的安全生产许可证；</w:t>
      </w:r>
    </w:p>
    <w:p>
      <w:pPr>
        <w:pStyle w:val="null3"/>
      </w:pPr>
      <w:r>
        <w:rPr>
          <w:rFonts w:ascii="仿宋_GB2312" w:hAnsi="仿宋_GB2312" w:cs="仿宋_GB2312" w:eastAsia="仿宋_GB2312"/>
        </w:rPr>
        <w:t>4、项目经理：供应商拟派项目经理须具有建筑工程专业注册建造师二级（含二级）以上资格和安全生产考核合格B证，且无在建项目（提供无在建项目承诺书）；供应商基本信息及项目经理基本信息应在“陕西建设网（http://js.shaanxi.gov.cn/ ）陕西省建筑市场监管与诚信信息发布平台”可查询；</w:t>
      </w:r>
    </w:p>
    <w:p>
      <w:pPr>
        <w:pStyle w:val="null3"/>
      </w:pPr>
      <w:r>
        <w:rPr>
          <w:rFonts w:ascii="仿宋_GB2312" w:hAnsi="仿宋_GB2312" w:cs="仿宋_GB2312" w:eastAsia="仿宋_GB2312"/>
        </w:rPr>
        <w:t>5、财务要求：提供具有财务审计资质单位出具的 2025 年度财务审计报告（成立时间至开标时间不足一年的可提供成立后任意时段的资产负债表）或开标前六个月内其基本账户银行出具的资信证明（附开户许可证或基本账户证明）（注：根据《陕西省财政厅关于启用会计师事务所审计报告“二维码 ”赋码查验功能的通知（陕财办会函〔2022〕55 号）》，各投标人经审计的财务会计报告需赋加“注册会计师行业统一监管平台 ”二维码）；</w:t>
      </w:r>
    </w:p>
    <w:p>
      <w:pPr>
        <w:pStyle w:val="null3"/>
      </w:pPr>
      <w:r>
        <w:rPr>
          <w:rFonts w:ascii="仿宋_GB2312" w:hAnsi="仿宋_GB2312" w:cs="仿宋_GB2312" w:eastAsia="仿宋_GB2312"/>
        </w:rPr>
        <w:t>6、完税证明：提供磋商截止日前近一年内已缴纳的任意一个月的纳税证明或完税证明（任意税种），依法免税的单位应提供相关证明材料；</w:t>
      </w:r>
    </w:p>
    <w:p>
      <w:pPr>
        <w:pStyle w:val="null3"/>
      </w:pPr>
      <w:r>
        <w:rPr>
          <w:rFonts w:ascii="仿宋_GB2312" w:hAnsi="仿宋_GB2312" w:cs="仿宋_GB2312" w:eastAsia="仿宋_GB2312"/>
        </w:rPr>
        <w:t>7、社保缴纳证明：提供磋商截止日前近一年内已缴纳的任意一个月的社会保障资金缴存单据或社保机构开具的社会保险参保缴费情况证明，依法不需要缴纳社会保障资金的单位应提供相关证明材料；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8、书面声明：参加政府采购活动前三年内在经营活动中没有重大违法记录的书面声明；</w:t>
      </w:r>
    </w:p>
    <w:p>
      <w:pPr>
        <w:pStyle w:val="null3"/>
      </w:pPr>
      <w:r>
        <w:rPr>
          <w:rFonts w:ascii="仿宋_GB2312" w:hAnsi="仿宋_GB2312" w:cs="仿宋_GB2312" w:eastAsia="仿宋_GB2312"/>
        </w:rPr>
        <w:t>9、信用记录：供应商不得为“中国执行信息公开网（zxgk.court.gov.cn）”被列入失信被执行人名单，不得为“信用中国（www.creditchina.gov.cn）”重大税收违法失信主体当事人名单，不得为“中国政府采购网（www.ccgp.gov.cn）”被列入政府采购严重违法失信行为记录名单（以代理机构在提交响应⽂件截⽌当⽇查询结果为准）；</w:t>
      </w:r>
    </w:p>
    <w:p>
      <w:pPr>
        <w:pStyle w:val="null3"/>
      </w:pPr>
      <w:r>
        <w:rPr>
          <w:rFonts w:ascii="仿宋_GB2312" w:hAnsi="仿宋_GB2312" w:cs="仿宋_GB2312" w:eastAsia="仿宋_GB2312"/>
        </w:rPr>
        <w:t>10、其他：本项目不接受联合体磋商，单位负责人为同一人或者存在直接控股、管理关系的不同供应商，不得参加同一合同项下的政府采购活动，提供非联合体投标书面声明函；</w:t>
      </w:r>
    </w:p>
    <w:p>
      <w:pPr>
        <w:pStyle w:val="null3"/>
      </w:pPr>
      <w:r>
        <w:rPr>
          <w:rFonts w:ascii="仿宋_GB2312" w:hAnsi="仿宋_GB2312" w:cs="仿宋_GB2312" w:eastAsia="仿宋_GB2312"/>
        </w:rPr>
        <w:t>11、中小企业声明函：本项目为专门面向中小企业采购项目，须根据《政府采购促进中小企业发展管理办法》（财库（2020）46号）的规定提供《中小企业声明函》。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西安市蓝田县文化馆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蓝田县北街25号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许媛媛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13991112386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陕西鼎慧源工程项目管理有限公司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陕西省西安市未央区北二环太华北路立交东北角百寰国际27层2708室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姜伟、张含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029-86636985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招标代理服务费收取参照国家计委颁发的《招标代理服务收费管理暂行办法》（计价格[2002]1980号）和《关于招标代理服务收费有关问题的通知》（发改办价格[2003]857号）的有关规定执行。由中标单位在领取中标通知书时一次性向招标代理机构支付。⼾名：陕西⿍慧源⼯程项⽬管理有限公司 开⼾银⾏: 招商银⾏股份有限公司西安凤城⼆路⽀⾏ 账号: 129920348810001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西安市蓝田县文化馆</w:t>
      </w:r>
      <w:r>
        <w:rPr>
          <w:rFonts w:ascii="仿宋_GB2312" w:hAnsi="仿宋_GB2312" w:cs="仿宋_GB2312" w:eastAsia="仿宋_GB2312"/>
        </w:rPr>
        <w:t>和</w:t>
      </w:r>
      <w:r>
        <w:rPr>
          <w:rFonts w:ascii="仿宋_GB2312" w:hAnsi="仿宋_GB2312" w:cs="仿宋_GB2312" w:eastAsia="仿宋_GB2312"/>
        </w:rPr>
        <w:t>陕西鼎慧源工程项目管理有限公司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西安市蓝田县文化馆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陕西鼎慧源工程项目管理有限公司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西安市蓝田县文化馆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陕西鼎慧源工程项目管理有限公司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符合国家及行业质量“合格”标准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联系人：姜伟、张含</w:t>
      </w:r>
    </w:p>
    <w:p>
      <w:pPr>
        <w:pStyle w:val="null3"/>
      </w:pPr>
      <w:r>
        <w:rPr>
          <w:rFonts w:ascii="仿宋_GB2312" w:hAnsi="仿宋_GB2312" w:cs="仿宋_GB2312" w:eastAsia="仿宋_GB2312"/>
        </w:rPr>
        <w:t>联系电话：029-86636985</w:t>
      </w:r>
    </w:p>
    <w:p>
      <w:pPr>
        <w:pStyle w:val="null3"/>
      </w:pPr>
      <w:r>
        <w:rPr>
          <w:rFonts w:ascii="仿宋_GB2312" w:hAnsi="仿宋_GB2312" w:cs="仿宋_GB2312" w:eastAsia="仿宋_GB2312"/>
        </w:rPr>
        <w:t>地址：陕西省西安市未央区太华北路北二环立交桥东北角百寰国际27层2708室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799,312.51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蓝田县文化馆提升改造项目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标的名称：蓝田县文化馆提升改造项目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1、项目名称：蓝田县文化馆提升改造项目</w:t>
            </w:r>
          </w:p>
          <w:p>
            <w:pPr>
              <w:pStyle w:val="null3"/>
            </w:pPr>
            <w:r>
              <w:rPr>
                <w:rFonts w:ascii="仿宋_GB2312" w:hAnsi="仿宋_GB2312" w:cs="仿宋_GB2312" w:eastAsia="仿宋_GB2312"/>
              </w:rPr>
              <w:t>2、工程内容：白鹿广场：拆除及新做塑胶面层3128㎡、拆除及新做防水层200㎡；文化馆：拆除及新做防水层300㎡、管道拆除及恢复50m；拆除混凝土路面及新做沥青路面1051㎡及两馆线路改造等项目。</w:t>
            </w:r>
          </w:p>
          <w:p>
            <w:pPr>
              <w:pStyle w:val="null3"/>
            </w:pPr>
            <w:r>
              <w:rPr>
                <w:rFonts w:ascii="仿宋_GB2312" w:hAnsi="仿宋_GB2312" w:cs="仿宋_GB2312" w:eastAsia="仿宋_GB2312"/>
              </w:rPr>
              <w:t>3、项目建设地点：蓝田县白鹿广场、文化馆</w:t>
            </w:r>
          </w:p>
          <w:p>
            <w:pPr>
              <w:pStyle w:val="null3"/>
            </w:pPr>
            <w:r>
              <w:rPr>
                <w:rFonts w:ascii="仿宋_GB2312" w:hAnsi="仿宋_GB2312" w:cs="仿宋_GB2312" w:eastAsia="仿宋_GB2312"/>
              </w:rPr>
              <w:t>4、计划工期：自合同签订之日起120日历天</w:t>
            </w:r>
          </w:p>
          <w:p>
            <w:pPr>
              <w:pStyle w:val="null3"/>
            </w:pPr>
            <w:r>
              <w:rPr>
                <w:rFonts w:ascii="仿宋_GB2312" w:hAnsi="仿宋_GB2312" w:cs="仿宋_GB2312" w:eastAsia="仿宋_GB2312"/>
              </w:rPr>
              <w:t>5、质量保修期：1年（自竣工验收合格之日起计算)</w:t>
            </w:r>
          </w:p>
          <w:p>
            <w:pPr>
              <w:pStyle w:val="null3"/>
            </w:pPr>
            <w:r>
              <w:rPr>
                <w:rFonts w:ascii="仿宋_GB2312" w:hAnsi="仿宋_GB2312" w:cs="仿宋_GB2312" w:eastAsia="仿宋_GB2312"/>
              </w:rPr>
              <w:t>6、质量验收标准：符合国家及行业质量“合格”标准</w:t>
            </w:r>
          </w:p>
          <w:p>
            <w:pPr>
              <w:pStyle w:val="null3"/>
            </w:pPr>
            <w:r>
              <w:rPr>
                <w:rFonts w:ascii="仿宋_GB2312" w:hAnsi="仿宋_GB2312" w:cs="仿宋_GB2312" w:eastAsia="仿宋_GB2312"/>
              </w:rPr>
              <w:t>7、付款方式：合同签订后支付合同价款的40%作为预付款；根据项目进度，支付工程进度款至合同价款的85%，竣工验收合格待审计部门审定后支付至审定总价款的97%。剩余3%合同到期满一年后一次性付清无息。</w:t>
            </w:r>
          </w:p>
          <w:p>
            <w:pPr>
              <w:pStyle w:val="null3"/>
            </w:pPr>
            <w:r>
              <w:rPr>
                <w:rFonts w:ascii="仿宋_GB2312" w:hAnsi="仿宋_GB2312" w:cs="仿宋_GB2312" w:eastAsia="仿宋_GB2312"/>
              </w:rPr>
              <w:t>二、工程量清单（另附）及工程量清单编制依据</w:t>
            </w:r>
          </w:p>
          <w:p>
            <w:pPr>
              <w:pStyle w:val="null3"/>
            </w:pPr>
            <w:r>
              <w:rPr>
                <w:rFonts w:ascii="仿宋_GB2312" w:hAnsi="仿宋_GB2312" w:cs="仿宋_GB2312" w:eastAsia="仿宋_GB2312"/>
              </w:rPr>
              <w:t>1、工程名称：蓝田县文化馆提升改造项目</w:t>
            </w:r>
          </w:p>
          <w:p>
            <w:pPr>
              <w:pStyle w:val="null3"/>
            </w:pPr>
            <w:r>
              <w:rPr>
                <w:rFonts w:ascii="仿宋_GB2312" w:hAnsi="仿宋_GB2312" w:cs="仿宋_GB2312" w:eastAsia="仿宋_GB2312"/>
              </w:rPr>
              <w:t>2、编制依据：①陕西省建设工程工程量清单计价标准及计算标准(2025)及其配套文件中工程量计算办法；②正常施工组织设计及施工方法；③相关施工规范及验收规范</w:t>
            </w:r>
            <w:r>
              <w:rPr>
                <w:rFonts w:ascii="仿宋_GB2312" w:hAnsi="仿宋_GB2312" w:cs="仿宋_GB2312" w:eastAsia="仿宋_GB2312"/>
                <w:sz w:val="28"/>
                <w:color w:val="000000"/>
              </w:rPr>
              <w:t>。</w:t>
            </w:r>
          </w:p>
          <w:p>
            <w:pPr>
              <w:pStyle w:val="null3"/>
            </w:pPr>
            <w:r>
              <w:rPr>
                <w:rFonts w:ascii="仿宋_GB2312" w:hAnsi="仿宋_GB2312" w:cs="仿宋_GB2312" w:eastAsia="仿宋_GB2312"/>
              </w:rPr>
              <w:t>3、广联达版本号：广联达计价软件GCCP7 .0（7 .5000.23.3 版本）</w:t>
            </w:r>
          </w:p>
          <w:p>
            <w:pPr>
              <w:pStyle w:val="null3"/>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工程质量符合国家及行业质量“合格”标准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满足采购文件、工程量清单要求。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1、采购标的对应的中小企业划分标准所属行业为建筑业。建筑业的划型标准为：营业收入80000万元以下或资产总额 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2、落实的政府采购政策：（1）《政府采购促进中小企业发展管理办法》（财库〔2020〕46号）；（2）《关于进一步加大政府采购支持中小企业力度的通知》（财库〔2022〕19号）；（3）《财政部 司法部关于政府采购支持监狱企业发展有关问题的通知》（财库〔2014〕68号）；（4）《国务院办公厅关于建立政府强制采购节能产品制度的通知》（国办发〔2007〕51号）；（5）《财政部 民政部 中国残疾人联合会关于促进残疾人就业政府采购政策的通知》（财库〔2017〕141号）；（6）《财政部 发展改革委 生态环境部 市场监管总局关于调整优化节能产品、环境标志产品政府采购执行机制的通知》（财库〔2019〕9号）；（7）《关于印发环境标志产品政府采购品目清单的通知》（财库〔2019〕18号）；（8）《关于印发节能产品政府采购品目清单的通知》（财库〔2019〕19号）；（9）陕西省财政厅关于进一步加强政府绿色采购有关问题的通知--陕财办采〔2021〕29号；（10）《财政部 农业农村部 国家乡村振兴局关于运用政府采购政策支持乡村产业振兴的通知》财库〔2021〕19号；（11）《陕西省财政厅关于印发陕西省中小企业政府采购信用融资办法》（陕财办采〔2018〕23号）；（12）《陕西省财政厅关于加快推进我省中小企业政府采购信用融资工作的通知》（陕财办采〔2020〕15号）；（13）其他需要落实的政府采购政策（如有最新颁布的政府采购政策，按最新的文件执行）。 3、各供应商所有分项报价（与最后磋商报价比例一致）同比例下浮。 4、本项目专门面向中小企业采购（残疾人福利性单位、监狱企业视同小型、微型企业）。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 2025 年度财务审计报告（成立时间至开标时间不足一年的可提供成立后任意时段的资产负债表）或开标前六个月内其基本账户银行出具的资信证明（附开户许可证或基本账户证明）（注：根据《陕西省财政厅关于启用会计师事务所审计报告“二维码 ”赋码查验功能的通知（陕财办会函〔2022〕55 号）》，各投标人经审计的财务会计报告需赋加“注册会计师行业统一监管平台 ”二维码）；</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法定代表人参加磋商提供法定代表人身份证明（附法定代表人身份证复印件），委托代理人参加磋商提供法定代表人授权委托书（附法定代表人、委托代理人身份证复印件）；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供应商须具备建设行政主管部门颁发的建筑工程施工总承包三级及以上资质（或调整后的同等资质等级），同时须具备有效的安全生产许可证；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须具有建筑工程专业注册建造师二级（含二级）以上资格和安全生产考核合格B证，且无在建项目（提供无在建项目承诺书）；供应商基本信息及项目经理基本信息应在“陕西建设网（http://js.shaanxi.gov.cn/ ）陕西省建筑市场监管与诚信信息发布平台”可查询；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提供具有财务审计资质单位出具的 2025 年度财务审计报告（成立时间至开标时间不足一年的可提供成立后任意时段的资产负债表）或开标前六个月内其基本账户银行出具的资信证明（附开户许可证或基本账户证明）（注：根据《陕西省财政厅关于启用会计师事务所审计报告“二维码 ”赋码查验功能的通知（陕财办会函〔2022〕55 号）》，各投标人经审计的财务会计报告需赋加“注册会计师行业统一监管平台 ”二维码）；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提供磋商截止日前近一年内已缴纳的任意一个月的纳税证明或完税证明（任意税种），依法免税的单位应提供相关证明材料；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提供磋商截止日前近一年内已缴纳的任意一个月的社会保障资金缴存单据或社保机构开具的社会保险参保缴费情况证明，依法不需要缴纳社会保障资金的单位应提供相关证明材料；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中国执行信息公开网（zxgk.court.gov.cn）”被列入失信被执行人名单，不得为“信用中国（www.creditchina.gov.cn）”重大税收违法失信主体当事人名单，不得为“中国政府采购网（www.ccgp.gov.cn）”被列入政府采购严重违法失信行为记录名单（以代理机构在提交响应⽂件截⽌当⽇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本项目不接受联合体磋商，单位负责人为同一人或者存在直接控股、管理关系的不同供应商，不得参加同一合同项下的政府采购活动，提供非联合体投标书面声明函；</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本项目为专门面向中小企业采购项目，须根据《政府采购促进中小企业发展管理办法》（财库（2020）46号）的规定提供《中小企业声明函》。</w:t>
            </w:r>
          </w:p>
        </w:tc>
        <w:tc>
          <w:tcPr>
            <w:tcW w:type="dxa" w:w="1661"/>
          </w:tcPr>
          <w:p>
            <w:pPr>
              <w:pStyle w:val="null3"/>
            </w:pPr>
            <w:r>
              <w:rPr>
                <w:rFonts w:ascii="仿宋_GB2312" w:hAnsi="仿宋_GB2312" w:cs="仿宋_GB2312" w:eastAsia="仿宋_GB2312"/>
              </w:rPr>
              <w:t>供应商应提交的相关资格证明材料.docx 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磋商报价表.docx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磋商响应⽂件完整性</w:t>
            </w:r>
          </w:p>
        </w:tc>
        <w:tc>
          <w:tcPr>
            <w:tcW w:type="dxa" w:w="3322"/>
          </w:tcPr>
          <w:p>
            <w:pPr>
              <w:pStyle w:val="null3"/>
            </w:pPr>
            <w:r>
              <w:rPr>
                <w:rFonts w:ascii="仿宋_GB2312" w:hAnsi="仿宋_GB2312" w:cs="仿宋_GB2312" w:eastAsia="仿宋_GB2312"/>
              </w:rPr>
              <w:t>磋商响应⽂件构成⽆重⼤缺项（详细评审除外 ），按照磋商⽂件要求的格式编写磋商响应⽂ 件</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磋商报价表.docx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磋商响应⽂件报价</w:t>
            </w:r>
          </w:p>
        </w:tc>
        <w:tc>
          <w:tcPr>
            <w:tcW w:type="dxa" w:w="3322"/>
          </w:tcPr>
          <w:p>
            <w:pPr>
              <w:pStyle w:val="null3"/>
            </w:pPr>
            <w:r>
              <w:rPr>
                <w:rFonts w:ascii="仿宋_GB2312" w:hAnsi="仿宋_GB2312" w:cs="仿宋_GB2312" w:eastAsia="仿宋_GB2312"/>
              </w:rPr>
              <w:t>内容⽆重⼤缺漏项，报价唯⼀，且没有超过采 购预算和最⾼限价</w:t>
            </w:r>
          </w:p>
        </w:tc>
        <w:tc>
          <w:tcPr>
            <w:tcW w:type="dxa" w:w="1661"/>
          </w:tcPr>
          <w:p>
            <w:pPr>
              <w:pStyle w:val="null3"/>
            </w:pPr>
            <w:r>
              <w:rPr>
                <w:rFonts w:ascii="仿宋_GB2312" w:hAnsi="仿宋_GB2312" w:cs="仿宋_GB2312" w:eastAsia="仿宋_GB2312"/>
              </w:rPr>
              <w:t>已标价工程量清单 报价函 标的清单 磋商报价表.docx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磋商响应⽂件有效性</w:t>
            </w:r>
          </w:p>
        </w:tc>
        <w:tc>
          <w:tcPr>
            <w:tcW w:type="dxa" w:w="3322"/>
          </w:tcPr>
          <w:p>
            <w:pPr>
              <w:pStyle w:val="null3"/>
            </w:pPr>
            <w:r>
              <w:rPr>
                <w:rFonts w:ascii="仿宋_GB2312" w:hAnsi="仿宋_GB2312" w:cs="仿宋_GB2312" w:eastAsia="仿宋_GB2312"/>
              </w:rPr>
              <w:t>磋商响应⽂件的签署、盖章符合磋商⽂件要求 ，供应商递交的磋商响应⽂件与本项⽬名称⼀ 致</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磋商响应⽂件响应性</w:t>
            </w:r>
          </w:p>
        </w:tc>
        <w:tc>
          <w:tcPr>
            <w:tcW w:type="dxa" w:w="3322"/>
          </w:tcPr>
          <w:p>
            <w:pPr>
              <w:pStyle w:val="null3"/>
            </w:pPr>
            <w:r>
              <w:rPr>
                <w:rFonts w:ascii="仿宋_GB2312" w:hAnsi="仿宋_GB2312" w:cs="仿宋_GB2312" w:eastAsia="仿宋_GB2312"/>
              </w:rPr>
              <w:t>⼯期、质保期、付款进度响应磋商⽂件要求</w:t>
            </w:r>
          </w:p>
        </w:tc>
        <w:tc>
          <w:tcPr>
            <w:tcW w:type="dxa" w:w="1661"/>
          </w:tcPr>
          <w:p>
            <w:pPr>
              <w:pStyle w:val="null3"/>
            </w:pPr>
            <w:r>
              <w:rPr>
                <w:rFonts w:ascii="仿宋_GB2312" w:hAnsi="仿宋_GB2312" w:cs="仿宋_GB2312" w:eastAsia="仿宋_GB2312"/>
              </w:rPr>
              <w:t>报价函 标的清单 磋商报价表.docx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⽆磋商⽂件中规定的⽆效情形</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施工方案内容至少包括：①施工总平面布置图、施工进度表或施工网络图；②施工准备及进度安排;③施工方法；④重点难点工程分析及解决措施；⑤影响正常施工外在因素分析及对应预案等。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一、评审内容：内容至少包括①安全生产管理制度；②配置安全组织机构；③安全隐患排查、整改制度；④应急救援方案等。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确保文明施工及环境保护组织措施</w:t>
            </w:r>
          </w:p>
        </w:tc>
        <w:tc>
          <w:tcPr>
            <w:tcW w:type="dxa" w:w="2492"/>
          </w:tcPr>
          <w:p>
            <w:pPr>
              <w:pStyle w:val="null3"/>
            </w:pPr>
            <w:r>
              <w:rPr>
                <w:rFonts w:ascii="仿宋_GB2312" w:hAnsi="仿宋_GB2312" w:cs="仿宋_GB2312" w:eastAsia="仿宋_GB2312"/>
              </w:rPr>
              <w:t>一、评审内容：内容至少包括①文明施工及环境保护管理制度； ②防尘降噪措施；③节能减排措施；④治污减霾措施；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内容至少包括①施工进度安排；②工期目标控制和保证措施； ③材料供应措施； ④成品、半成品保护监管措施等。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内容至少包括①项目成员配置清单及架构②项目组配备人员的专业素质③人员结构④服务响应时间；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上述4项评审内容全部满足评审标准得8分，每有一个评审内容缺项扣2分，每有一项评审内容存在缺陷，扣0.5分，扣完为止，不计负分。（项目组配备人员须提供相关人员证书等）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 内容至少包括①施工机械配置计划； ②施工材料投入计划；③施工机械的维护保养和材料的贮存；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一、评审内容：内容至少包括①劳动力投入计划②劳动力保障措施；二、评审标准： 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供应商提供2023年01月01日（以合同签订日期为准）至今的类似项目业绩，每提供一份得1分，最高得5分。(合同复印件加盖公章附在响应文件中，否则不作为评审依据）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磋商报价采用低价优先法计算，即满足竞争性磋商文件要求且最后磋商报价最低的报价为评审基准价，其价格分为满分。其他供应商的价格分统一按照下列公式计算： 磋商报价得分=（评审基准价/最后磋商报价）×30 说明： 磋商报价不完整的，不进入磋商标准价的计算，本项得0分。 经评委一致认定，供应商的磋商最终总报价低于公认市场成本，或超过采购预算,其磋商响应将被拒绝。 注：本项目已专门面向中小微企业，对小微企业、监狱企业、残疾人福利性单位不再给予价格扣除，供应商需如实填写《中小企业声明函》。</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磋商报价表.docx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详见附件：技术服务方案.docx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